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4A6" w:rsidRPr="008F7358" w:rsidRDefault="001434A6" w:rsidP="00F57CB8">
      <w:pPr>
        <w:ind w:firstLine="0"/>
        <w:jc w:val="center"/>
        <w:rPr>
          <w:rFonts w:asciiTheme="minorHAnsi" w:hAnsiTheme="minorHAnsi"/>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Default="00CB503C" w:rsidP="00F57CB8">
      <w:pPr>
        <w:pStyle w:val="Nadpis1"/>
        <w:spacing w:before="0"/>
        <w:ind w:left="851" w:hanging="425"/>
        <w:jc w:val="center"/>
        <w:rPr>
          <w:rFonts w:asciiTheme="minorHAnsi" w:hAnsiTheme="minorHAnsi"/>
          <w:sz w:val="22"/>
          <w:szCs w:val="22"/>
        </w:rPr>
      </w:pPr>
    </w:p>
    <w:p w:rsidR="00BE070F" w:rsidRPr="00BE070F" w:rsidRDefault="00BE070F" w:rsidP="00BE070F">
      <w:pPr>
        <w:rPr>
          <w:lang w:val="cs-CZ" w:eastAsia="cs-CZ" w:bidi="ar-SA"/>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8A4900" w:rsidRPr="00A12BC1" w:rsidRDefault="008A4900" w:rsidP="008A4900">
            <w:pPr>
              <w:ind w:firstLine="0"/>
              <w:rPr>
                <w:b/>
              </w:rPr>
            </w:pPr>
            <w:r w:rsidRPr="002E7960">
              <w:rPr>
                <w:b/>
                <w:lang w:val="cs-CZ"/>
              </w:rPr>
              <w:t>Město Luby</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8A4900" w:rsidRPr="00775962" w:rsidRDefault="008A4900" w:rsidP="008A4900">
            <w:pPr>
              <w:ind w:firstLine="0"/>
            </w:pPr>
            <w:r>
              <w:rPr>
                <w:lang w:val="cs-CZ"/>
              </w:rPr>
              <w:t>Náměstí 5. května 164, 351</w:t>
            </w:r>
            <w:r w:rsidRPr="002E7960">
              <w:rPr>
                <w:lang w:val="cs-CZ"/>
              </w:rPr>
              <w:t xml:space="preserve"> 37 Luby</w:t>
            </w:r>
          </w:p>
        </w:tc>
      </w:tr>
      <w:tr w:rsidR="008A4900" w:rsidRPr="008F7358" w:rsidTr="00D86AFE">
        <w:tc>
          <w:tcPr>
            <w:tcW w:w="2405" w:type="dxa"/>
          </w:tcPr>
          <w:p w:rsidR="008A4900" w:rsidRDefault="008A4900" w:rsidP="008A4900">
            <w:pPr>
              <w:tabs>
                <w:tab w:val="left" w:pos="2268"/>
              </w:tabs>
              <w:ind w:firstLine="0"/>
              <w:contextualSpacing/>
              <w:rPr>
                <w:rFonts w:cs="Verdana"/>
                <w:lang w:val="cs-CZ"/>
              </w:rPr>
            </w:pPr>
            <w:r w:rsidRPr="008F7358">
              <w:rPr>
                <w:rFonts w:cs="Verdana"/>
                <w:lang w:val="cs-CZ"/>
              </w:rPr>
              <w:t>IČ</w:t>
            </w:r>
            <w:r>
              <w:rPr>
                <w:rFonts w:cs="Verdana"/>
                <w:lang w:val="cs-CZ"/>
              </w:rPr>
              <w:t>:</w:t>
            </w:r>
          </w:p>
          <w:p w:rsidR="008A4900" w:rsidRPr="008F7358" w:rsidRDefault="008A4900" w:rsidP="008A4900">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8A4900" w:rsidRDefault="008A4900" w:rsidP="008A4900">
            <w:pPr>
              <w:spacing w:after="0"/>
              <w:ind w:firstLine="0"/>
            </w:pPr>
            <w:r w:rsidRPr="002E7960">
              <w:t>00254053</w:t>
            </w:r>
          </w:p>
          <w:p w:rsidR="008A4900" w:rsidRPr="00775962" w:rsidRDefault="008A4900" w:rsidP="008A4900">
            <w:pPr>
              <w:spacing w:after="0"/>
              <w:ind w:firstLine="0"/>
            </w:pPr>
            <w:r w:rsidRPr="00055C5D">
              <w:t>CZ00254053</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8A4900" w:rsidRPr="00CE51E2" w:rsidRDefault="008A4900" w:rsidP="008A4900">
            <w:pPr>
              <w:ind w:firstLine="0"/>
            </w:pPr>
            <w:r w:rsidRPr="000B2A76">
              <w:t>Ing. Vladimír Vorm, starosta města</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8A4900" w:rsidRPr="007607F5" w:rsidRDefault="008A4900" w:rsidP="008A4900">
            <w:pPr>
              <w:pStyle w:val="Bezmezer"/>
              <w:numPr>
                <w:ilvl w:val="0"/>
                <w:numId w:val="0"/>
              </w:numPr>
              <w:ind w:left="2072" w:hanging="2072"/>
              <w:rPr>
                <w:rFonts w:asciiTheme="minorHAnsi" w:hAnsiTheme="minorHAnsi" w:cs="Calibri"/>
                <w:lang w:val="cs-CZ"/>
              </w:rPr>
            </w:pPr>
            <w:r w:rsidRPr="000B2A76">
              <w:t>Ing. Vladimír Vorm, starosta města</w:t>
            </w:r>
          </w:p>
        </w:tc>
      </w:tr>
      <w:tr w:rsidR="008A4900" w:rsidRPr="008F7358" w:rsidTr="00C76F82">
        <w:tc>
          <w:tcPr>
            <w:tcW w:w="2405" w:type="dxa"/>
            <w:shd w:val="clear" w:color="auto" w:fill="auto"/>
          </w:tcPr>
          <w:p w:rsidR="008A4900"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8A4900" w:rsidRDefault="008A4900" w:rsidP="008A4900">
            <w:pPr>
              <w:pStyle w:val="Default"/>
              <w:rPr>
                <w:rFonts w:asciiTheme="minorHAnsi" w:hAnsiTheme="minorHAnsi"/>
                <w:sz w:val="22"/>
                <w:szCs w:val="22"/>
              </w:rPr>
            </w:pPr>
            <w:r>
              <w:rPr>
                <w:rFonts w:asciiTheme="minorHAnsi" w:hAnsiTheme="minorHAnsi"/>
                <w:sz w:val="22"/>
                <w:szCs w:val="22"/>
              </w:rPr>
              <w:t>+420 354 420 410</w:t>
            </w:r>
          </w:p>
          <w:p w:rsidR="008A4900" w:rsidRPr="007607F5" w:rsidRDefault="00062C71" w:rsidP="008A4900">
            <w:pPr>
              <w:pStyle w:val="Default"/>
              <w:rPr>
                <w:rFonts w:asciiTheme="minorHAnsi" w:hAnsiTheme="minorHAnsi"/>
                <w:sz w:val="22"/>
                <w:szCs w:val="22"/>
              </w:rPr>
            </w:pPr>
            <w:hyperlink r:id="rId11" w:history="1">
              <w:r w:rsidR="008A4900" w:rsidRPr="009315CA">
                <w:rPr>
                  <w:rStyle w:val="Hypertextovodkaz"/>
                  <w:rFonts w:asciiTheme="minorHAnsi" w:hAnsiTheme="minorHAnsi"/>
                  <w:sz w:val="22"/>
                  <w:szCs w:val="22"/>
                </w:rPr>
                <w:t>starosta@mestoluby.cz</w:t>
              </w:r>
            </w:hyperlink>
            <w:r w:rsidR="008A4900">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Default="00D86AFE"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p w:rsidR="00D86AFE" w:rsidRPr="008F7358" w:rsidRDefault="00D86AF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Pr="008F7358" w:rsidRDefault="0056168D" w:rsidP="00E81D76">
      <w:pPr>
        <w:tabs>
          <w:tab w:val="left" w:pos="567"/>
        </w:tabs>
        <w:spacing w:before="120"/>
        <w:ind w:firstLine="0"/>
        <w:contextualSpacing/>
        <w:jc w:val="center"/>
        <w:rPr>
          <w:rFonts w:asciiTheme="minorHAnsi" w:hAnsiTheme="minorHAnsi"/>
          <w:b/>
          <w:spacing w:val="-4"/>
          <w:lang w:val="cs-CZ"/>
        </w:rPr>
      </w:pPr>
    </w:p>
    <w:p w:rsidR="00D86AFE" w:rsidRPr="008F7358" w:rsidRDefault="00D86AFE" w:rsidP="00E81D7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E81D76">
      <w:pPr>
        <w:spacing w:before="120" w:line="240" w:lineRule="atLeast"/>
        <w:ind w:firstLine="0"/>
        <w:contextualSpacing/>
        <w:jc w:val="center"/>
        <w:rPr>
          <w:rFonts w:asciiTheme="minorHAnsi" w:hAnsiTheme="minorHAnsi"/>
          <w:b/>
          <w:caps/>
          <w:lang w:val="cs-CZ"/>
        </w:rPr>
      </w:pPr>
    </w:p>
    <w:p w:rsidR="0056168D" w:rsidRPr="008F7358" w:rsidRDefault="0056168D" w:rsidP="00E81D76">
      <w:pPr>
        <w:spacing w:before="120" w:line="240" w:lineRule="atLeast"/>
        <w:ind w:firstLine="0"/>
        <w:contextualSpacing/>
        <w:jc w:val="center"/>
        <w:rPr>
          <w:rFonts w:asciiTheme="minorHAnsi" w:hAnsiTheme="minorHAnsi"/>
          <w:b/>
          <w:caps/>
          <w:lang w:val="cs-CZ"/>
        </w:rPr>
      </w:pPr>
    </w:p>
    <w:p w:rsidR="000E3E53" w:rsidRPr="008F7358" w:rsidRDefault="0024264B" w:rsidP="00E81D76">
      <w:pPr>
        <w:pStyle w:val="Bezmezer"/>
        <w:numPr>
          <w:ilvl w:val="0"/>
          <w:numId w:val="0"/>
        </w:numPr>
        <w:jc w:val="center"/>
        <w:rPr>
          <w:b/>
          <w:bCs/>
          <w:caps/>
          <w:lang w:val="cs-CZ"/>
        </w:rPr>
      </w:pPr>
      <w:r>
        <w:rPr>
          <w:rStyle w:val="Siln"/>
          <w:rFonts w:ascii="Calibri Light" w:hAnsi="Calibri Light"/>
          <w:sz w:val="24"/>
          <w:szCs w:val="24"/>
        </w:rPr>
        <w:t>Stavební úpravy 3.NP a 4</w:t>
      </w:r>
      <w:r w:rsidR="00D35F3A" w:rsidRPr="00D35F3A">
        <w:rPr>
          <w:rStyle w:val="Siln"/>
          <w:rFonts w:ascii="Calibri Light" w:hAnsi="Calibri Light"/>
          <w:sz w:val="24"/>
          <w:szCs w:val="24"/>
        </w:rPr>
        <w:t>.NP školního objektu v Lubech</w:t>
      </w:r>
    </w:p>
    <w:p w:rsidR="00571FC1" w:rsidRDefault="00571FC1"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D35F3A" w:rsidRDefault="00D35F3A"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CB503C" w:rsidRPr="008F7358" w:rsidRDefault="00CB503C" w:rsidP="001313F5">
      <w:pPr>
        <w:pStyle w:val="Nadpis1"/>
        <w:numPr>
          <w:ilvl w:val="0"/>
          <w:numId w:val="4"/>
        </w:numPr>
        <w:spacing w:before="0"/>
        <w:ind w:left="0" w:firstLine="993"/>
        <w:jc w:val="center"/>
        <w:rPr>
          <w:rFonts w:asciiTheme="minorHAnsi" w:hAnsiTheme="minorHAnsi"/>
          <w:b w:val="0"/>
          <w:sz w:val="22"/>
          <w:szCs w:val="22"/>
        </w:rPr>
      </w:pPr>
    </w:p>
    <w:p w:rsidR="00A44C5F" w:rsidRPr="00D12FAF" w:rsidRDefault="00E5539B" w:rsidP="00253A48">
      <w:pPr>
        <w:spacing w:after="0"/>
        <w:ind w:firstLine="709"/>
        <w:jc w:val="center"/>
        <w:rPr>
          <w:b/>
          <w:caps/>
          <w:lang w:val="cs-CZ"/>
        </w:rPr>
      </w:pPr>
      <w:r w:rsidRPr="008F7358">
        <w:rPr>
          <w:b/>
          <w:caps/>
          <w:lang w:val="cs-CZ"/>
        </w:rPr>
        <w:t>Základní ustanovení</w:t>
      </w:r>
    </w:p>
    <w:p w:rsidR="00A44C5F" w:rsidRPr="00CD069A" w:rsidRDefault="00A44C5F" w:rsidP="00CD069A">
      <w:pPr>
        <w:pStyle w:val="Odstavecseseznamem"/>
        <w:numPr>
          <w:ilvl w:val="0"/>
          <w:numId w:val="47"/>
        </w:numPr>
        <w:spacing w:after="120"/>
        <w:jc w:val="both"/>
        <w:rPr>
          <w:rFonts w:asciiTheme="majorHAnsi" w:hAnsiTheme="majorHAnsi"/>
          <w:lang w:val="cs-CZ"/>
        </w:rPr>
      </w:pPr>
      <w:r w:rsidRPr="00CD069A">
        <w:rPr>
          <w:rFonts w:asciiTheme="majorHAnsi" w:hAnsiTheme="majorHAnsi"/>
          <w:lang w:val="cs-CZ"/>
        </w:rPr>
        <w:t>Na základě této smlouvy se zhotovitel zavazuje provést na svůj náklad a nebezpečí pro objednatele dílo uvedené v článku 2. této smlouvy. Objednatel se zavazuje dílo převzít a zaplatit zhotoviteli cenu za jeho provedení.</w:t>
      </w:r>
    </w:p>
    <w:p w:rsidR="00CD069A" w:rsidRPr="00413D3F" w:rsidRDefault="00CD069A" w:rsidP="00413D3F">
      <w:pPr>
        <w:spacing w:after="120"/>
        <w:ind w:left="426" w:firstLine="0"/>
        <w:jc w:val="both"/>
        <w:rPr>
          <w:rFonts w:asciiTheme="majorHAnsi" w:hAnsiTheme="majorHAnsi"/>
          <w:szCs w:val="24"/>
          <w:lang w:val="cs-CZ"/>
        </w:rPr>
      </w:pPr>
    </w:p>
    <w:p w:rsidR="0098797B" w:rsidRPr="008F7358" w:rsidRDefault="0098797B" w:rsidP="00CD069A">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54321F" w:rsidRDefault="00571FC1" w:rsidP="0054321F">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b/>
          <w:lang w:val="cs-CZ" w:eastAsia="cs-CZ" w:bidi="cs-CZ"/>
        </w:rPr>
      </w:pPr>
      <w:r w:rsidRPr="00571FC1">
        <w:rPr>
          <w:rFonts w:asciiTheme="minorHAnsi" w:hAnsiTheme="minorHAnsi"/>
          <w:lang w:val="cs-CZ"/>
        </w:rPr>
        <w:t>Předmětem díla</w:t>
      </w:r>
      <w:r w:rsidR="003F3E2F" w:rsidRPr="00571FC1">
        <w:rPr>
          <w:rFonts w:asciiTheme="minorHAnsi" w:hAnsiTheme="minorHAnsi" w:cs="Arial"/>
          <w:lang w:val="cs-CZ"/>
        </w:rPr>
        <w:t xml:space="preserve"> </w:t>
      </w:r>
      <w:r w:rsidR="00D35F3A" w:rsidRPr="00D35F3A">
        <w:rPr>
          <w:rFonts w:asciiTheme="minorHAnsi" w:eastAsia="Calibri" w:hAnsiTheme="minorHAnsi"/>
          <w:lang w:val="cs-CZ" w:eastAsia="cs-CZ" w:bidi="cs-CZ"/>
        </w:rPr>
        <w:t xml:space="preserve">jsou </w:t>
      </w:r>
      <w:r w:rsidR="0054321F">
        <w:rPr>
          <w:rFonts w:asciiTheme="minorHAnsi" w:eastAsia="Calibri" w:hAnsiTheme="minorHAnsi"/>
          <w:b/>
          <w:lang w:val="cs-CZ" w:eastAsia="cs-CZ" w:bidi="cs-CZ"/>
        </w:rPr>
        <w:t>stavební úpravy 3</w:t>
      </w:r>
      <w:r w:rsidR="00D35F3A" w:rsidRPr="00D35F3A">
        <w:rPr>
          <w:rFonts w:asciiTheme="minorHAnsi" w:eastAsia="Calibri" w:hAnsiTheme="minorHAnsi"/>
          <w:b/>
          <w:lang w:val="cs-CZ" w:eastAsia="cs-CZ" w:bidi="cs-CZ"/>
        </w:rPr>
        <w:t xml:space="preserve">.NP a </w:t>
      </w:r>
      <w:r w:rsidR="0054321F">
        <w:rPr>
          <w:rFonts w:asciiTheme="minorHAnsi" w:eastAsia="Calibri" w:hAnsiTheme="minorHAnsi"/>
          <w:b/>
          <w:lang w:val="cs-CZ" w:eastAsia="cs-CZ" w:bidi="cs-CZ"/>
        </w:rPr>
        <w:t>4</w:t>
      </w:r>
      <w:r w:rsidR="00D35F3A" w:rsidRPr="00D35F3A">
        <w:rPr>
          <w:rFonts w:asciiTheme="minorHAnsi" w:eastAsia="Calibri" w:hAnsiTheme="minorHAnsi"/>
          <w:b/>
          <w:lang w:val="cs-CZ" w:eastAsia="cs-CZ" w:bidi="cs-CZ"/>
        </w:rPr>
        <w:t>.NP školního objektu v Lubech.</w:t>
      </w:r>
    </w:p>
    <w:p w:rsidR="0054321F" w:rsidRDefault="0054321F" w:rsidP="0054321F">
      <w:pPr>
        <w:overflowPunct w:val="0"/>
        <w:autoSpaceDE w:val="0"/>
        <w:autoSpaceDN w:val="0"/>
        <w:adjustRightInd w:val="0"/>
        <w:spacing w:line="240" w:lineRule="atLeast"/>
        <w:ind w:left="851" w:firstLine="0"/>
        <w:jc w:val="both"/>
        <w:textAlignment w:val="baseline"/>
        <w:rPr>
          <w:rFonts w:asciiTheme="minorHAnsi" w:eastAsia="Calibri" w:hAnsiTheme="minorHAnsi"/>
          <w:b/>
          <w:lang w:val="cs-CZ" w:eastAsia="cs-CZ" w:bidi="cs-CZ"/>
        </w:rPr>
      </w:pPr>
      <w:r w:rsidRPr="0054321F">
        <w:rPr>
          <w:rFonts w:asciiTheme="minorHAnsi" w:eastAsia="Calibri" w:hAnsiTheme="minorHAnsi"/>
          <w:lang w:val="cs-CZ" w:eastAsia="cs-CZ" w:bidi="cs-CZ"/>
        </w:rPr>
        <w:t>Dispozice objektu zůstane zachována. V 3. NP dojde k úpravám stávajících tříd, bude provedena rekonstrukce elektroinstalace, rozvodů vytápění, ZTI. Stávající WC budou rekonstruována. Ve všech prostorech bude proveden nový SDK podhled, oprava omítek včetně štukování a nová výmalba.</w:t>
      </w:r>
      <w:r>
        <w:rPr>
          <w:rFonts w:asciiTheme="minorHAnsi" w:eastAsia="Calibri" w:hAnsiTheme="minorHAnsi"/>
          <w:b/>
          <w:lang w:val="cs-CZ" w:eastAsia="cs-CZ" w:bidi="cs-CZ"/>
        </w:rPr>
        <w:t xml:space="preserve"> </w:t>
      </w:r>
      <w:r w:rsidRPr="0054321F">
        <w:rPr>
          <w:rFonts w:asciiTheme="minorHAnsi" w:eastAsia="Calibri" w:hAnsiTheme="minorHAnsi"/>
          <w:lang w:val="cs-CZ" w:eastAsia="cs-CZ" w:bidi="cs-CZ"/>
        </w:rPr>
        <w:t>V 4. NP bude provedena vestavba společenského sálu.</w:t>
      </w:r>
    </w:p>
    <w:p w:rsidR="0054321F" w:rsidRPr="0054321F" w:rsidRDefault="0054321F" w:rsidP="0054321F">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b/>
          <w:lang w:val="cs-CZ" w:eastAsia="cs-CZ" w:bidi="cs-CZ"/>
        </w:rPr>
      </w:pPr>
      <w:r w:rsidRPr="0054321F">
        <w:rPr>
          <w:rFonts w:asciiTheme="minorHAnsi" w:eastAsia="Calibri" w:hAnsiTheme="minorHAnsi"/>
          <w:lang w:val="cs-CZ" w:eastAsia="cs-CZ" w:bidi="cs-CZ"/>
        </w:rPr>
        <w:t>Předmětem veřejné zakázky není rekonstrukce 1.NP, 2.NP a školní jídelny.</w:t>
      </w:r>
    </w:p>
    <w:p w:rsidR="006C5DA9" w:rsidRPr="0054321F" w:rsidRDefault="0056168D" w:rsidP="0054321F">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b/>
          <w:lang w:val="cs-CZ" w:eastAsia="cs-CZ" w:bidi="cs-CZ"/>
        </w:rPr>
      </w:pPr>
      <w:r w:rsidRPr="0054321F">
        <w:rPr>
          <w:rFonts w:asciiTheme="minorHAnsi" w:hAnsiTheme="minorHAnsi"/>
          <w:lang w:val="cs-CZ"/>
        </w:rPr>
        <w:t>Dílo bude provedeno v souladu s projektovou dokumentací a obecně závaznými technickými podmínkami uvedenými v právních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lastRenderedPageBreak/>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A44C5F">
      <w:pPr>
        <w:pStyle w:val="Odstavecseseznamem"/>
        <w:numPr>
          <w:ilvl w:val="0"/>
          <w:numId w:val="6"/>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je </w:t>
      </w:r>
      <w:r w:rsidR="00164791" w:rsidRPr="00164791">
        <w:rPr>
          <w:rFonts w:asciiTheme="minorHAnsi" w:hAnsiTheme="minorHAnsi"/>
          <w:lang w:val="cs-CZ"/>
        </w:rPr>
        <w:t>p.č. 118 v katastrálním území Luby</w:t>
      </w:r>
      <w:r w:rsidR="0056168D" w:rsidRPr="0056168D">
        <w:rPr>
          <w:rFonts w:asciiTheme="minorHAnsi" w:hAnsiTheme="minorHAnsi"/>
          <w:lang w:val="cs-CZ"/>
        </w:rPr>
        <w:t>. Přesné místo plnění je zakresleno v celkové situaci, která je součástí projektové dokumentace</w:t>
      </w:r>
      <w:r w:rsidRPr="001949B8">
        <w:rPr>
          <w:rFonts w:asciiTheme="minorHAnsi" w:hAnsiTheme="minorHAnsi"/>
          <w:lang w:val="cs-CZ"/>
        </w:rPr>
        <w:t>.</w:t>
      </w:r>
    </w:p>
    <w:p w:rsidR="00225A11" w:rsidRPr="001949B8"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C97B43">
      <w:pPr>
        <w:pStyle w:val="Bezmezer"/>
        <w:numPr>
          <w:ilvl w:val="0"/>
          <w:numId w:val="6"/>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247F78"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247F78" w:rsidRPr="00247F78" w:rsidRDefault="00247F78" w:rsidP="00247F78">
      <w:pPr>
        <w:pStyle w:val="Bezmezer"/>
        <w:numPr>
          <w:ilvl w:val="0"/>
          <w:numId w:val="24"/>
        </w:numPr>
        <w:ind w:left="1276" w:hanging="425"/>
        <w:jc w:val="both"/>
        <w:rPr>
          <w:rFonts w:asciiTheme="minorHAnsi" w:hAnsiTheme="minorHAnsi"/>
          <w:lang w:val="cs-CZ"/>
        </w:rPr>
      </w:pPr>
      <w:r>
        <w:rPr>
          <w:rFonts w:asciiTheme="minorHAnsi" w:hAnsiTheme="minorHAnsi"/>
          <w:lang w:val="cs-CZ"/>
        </w:rPr>
        <w:t>projektovou</w:t>
      </w:r>
      <w:r w:rsidRPr="00247F78">
        <w:rPr>
          <w:lang w:val="cs-CZ"/>
        </w:rPr>
        <w:t xml:space="preserve"> </w:t>
      </w:r>
      <w:r w:rsidRPr="00E21E14">
        <w:rPr>
          <w:lang w:val="cs-CZ"/>
        </w:rPr>
        <w:t>dokumentací zpracovanou společností PROJEKČNÍ KANCELÁŘ BERÁNEK &amp; HRADIL Svobody 7/1, 350 02</w:t>
      </w:r>
      <w:r w:rsidR="009E0AEF">
        <w:rPr>
          <w:lang w:val="cs-CZ"/>
        </w:rPr>
        <w:t xml:space="preserve"> Cheb</w:t>
      </w:r>
      <w:r>
        <w:rPr>
          <w:lang w:val="cs-CZ"/>
        </w:rPr>
        <w:t xml:space="preserve">, IČ: </w:t>
      </w:r>
      <w:r w:rsidRPr="00247F78">
        <w:rPr>
          <w:lang w:val="cs-CZ"/>
        </w:rPr>
        <w:t>87152339</w:t>
      </w:r>
      <w:r>
        <w:rPr>
          <w:lang w:val="cs-CZ"/>
        </w:rPr>
        <w:t>, z </w:t>
      </w:r>
      <w:r w:rsidR="00C06F5C">
        <w:rPr>
          <w:lang w:val="cs-CZ"/>
        </w:rPr>
        <w:t>února</w:t>
      </w:r>
      <w:r>
        <w:rPr>
          <w:lang w:val="cs-CZ"/>
        </w:rPr>
        <w:t xml:space="preserve"> 2023</w:t>
      </w:r>
      <w:r w:rsidRPr="00E21E14">
        <w:rPr>
          <w:lang w:val="cs-CZ"/>
        </w:rPr>
        <w:t xml:space="preserve">, (dále jen </w:t>
      </w:r>
      <w:r w:rsidRPr="00E21E14">
        <w:rPr>
          <w:bCs/>
          <w:i/>
          <w:lang w:val="cs-CZ"/>
        </w:rPr>
        <w:t>„</w:t>
      </w:r>
      <w:r w:rsidRPr="00E21E14">
        <w:rPr>
          <w:lang w:val="cs-CZ"/>
        </w:rPr>
        <w:t>projektová dokumentace</w:t>
      </w:r>
      <w:r>
        <w:rPr>
          <w:lang w:val="cs-CZ"/>
        </w:rPr>
        <w:t>“),</w:t>
      </w:r>
    </w:p>
    <w:p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253A48">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BE10C6" w:rsidRPr="001313F5" w:rsidRDefault="0053261C" w:rsidP="001313F5">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 xml:space="preserve">Dále zhotovitel potvrzuje, že měl možnost seznámit se s místem plnění a jeho reálnými poměry v dostatečném </w:t>
      </w:r>
      <w:r w:rsidR="00E5539B" w:rsidRPr="008F7358">
        <w:rPr>
          <w:lang w:val="cs-CZ"/>
        </w:rPr>
        <w:lastRenderedPageBreak/>
        <w:t>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20358B" w:rsidRDefault="005374DD" w:rsidP="00376EB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xml:space="preserve"> ust.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247D63">
        <w:rPr>
          <w:rFonts w:asciiTheme="minorHAnsi" w:hAnsiTheme="minorHAnsi"/>
          <w:lang w:val="cs-CZ"/>
        </w:rPr>
        <w:t>Stavební úpravy 3.NP a 4</w:t>
      </w:r>
      <w:r w:rsidR="00376EB9" w:rsidRPr="00376EB9">
        <w:rPr>
          <w:rFonts w:asciiTheme="minorHAnsi" w:hAnsiTheme="minorHAnsi"/>
          <w:lang w:val="cs-CZ"/>
        </w:rPr>
        <w:t>.NP školního objektu v Lubech</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w:t>
      </w:r>
      <w:r w:rsidRPr="008F7358">
        <w:rPr>
          <w:rFonts w:asciiTheme="minorHAnsi" w:hAnsiTheme="minorHAnsi" w:cs="Arial"/>
          <w:sz w:val="22"/>
          <w:szCs w:val="22"/>
        </w:rPr>
        <w:lastRenderedPageBreak/>
        <w:t>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8F7358" w:rsidRDefault="009811A5" w:rsidP="00CD069A">
      <w:pPr>
        <w:tabs>
          <w:tab w:val="left" w:pos="993"/>
        </w:tabs>
        <w:overflowPunct w:val="0"/>
        <w:autoSpaceDE w:val="0"/>
        <w:autoSpaceDN w:val="0"/>
        <w:adjustRightInd w:val="0"/>
        <w:spacing w:after="0"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8F7358" w:rsidRDefault="009B2C0F" w:rsidP="0078326B">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 xml:space="preserve">budou splňovat veškeré zákonné náležitosti </w:t>
      </w:r>
      <w:r w:rsidR="00967DFD">
        <w:rPr>
          <w:rFonts w:cs="Verdana"/>
          <w:bCs/>
          <w:lang w:val="cs-CZ"/>
        </w:rPr>
        <w:t>daňového dokladu.</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2D47D7">
        <w:rPr>
          <w:rFonts w:cs="Verdana"/>
          <w:bCs/>
          <w:lang w:val="cs-CZ"/>
        </w:rPr>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rsidR="009B2C0F" w:rsidRPr="008F7358" w:rsidRDefault="009B2C0F" w:rsidP="009B2C0F">
      <w:pPr>
        <w:numPr>
          <w:ilvl w:val="0"/>
          <w:numId w:val="8"/>
        </w:numPr>
        <w:ind w:left="714" w:hanging="357"/>
        <w:jc w:val="both"/>
        <w:rPr>
          <w:lang w:val="cs-CZ"/>
        </w:rPr>
      </w:pPr>
      <w:r w:rsidRPr="002D47D7">
        <w:rPr>
          <w:rFonts w:cs="Verdana"/>
          <w:bCs/>
          <w:lang w:val="cs-CZ"/>
        </w:rPr>
        <w:t>Splatnost faktur je 30</w:t>
      </w:r>
      <w:r w:rsidRPr="002D47D7">
        <w:rPr>
          <w:rFonts w:cs="Verdana"/>
          <w:bCs/>
          <w:color w:val="FF0000"/>
          <w:lang w:val="cs-CZ"/>
        </w:rPr>
        <w:t xml:space="preserve"> </w:t>
      </w:r>
      <w:r w:rsidRPr="002D47D7">
        <w:rPr>
          <w:rFonts w:cs="Verdana"/>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2D47D7" w:rsidRDefault="009B2C0F" w:rsidP="00BE10C6">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BE10C6" w:rsidRPr="00BE10C6" w:rsidRDefault="00BE10C6" w:rsidP="00BE10C6">
      <w:pPr>
        <w:ind w:left="357"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BE0471" w:rsidRDefault="000B7051" w:rsidP="00E926F8">
      <w:pPr>
        <w:pStyle w:val="Bezmezer"/>
        <w:numPr>
          <w:ilvl w:val="0"/>
          <w:numId w:val="0"/>
        </w:numPr>
        <w:ind w:left="709"/>
        <w:jc w:val="both"/>
        <w:rPr>
          <w:b/>
          <w:lang w:val="cs-CZ"/>
        </w:rPr>
      </w:pPr>
      <w:r w:rsidRPr="001949B8">
        <w:rPr>
          <w:b/>
          <w:lang w:val="cs-CZ"/>
        </w:rPr>
        <w:t>Zahájení prací:</w:t>
      </w:r>
      <w:r w:rsidRPr="001949B8">
        <w:rPr>
          <w:lang w:val="cs-CZ"/>
        </w:rPr>
        <w:t xml:space="preserve"> </w:t>
      </w:r>
      <w:r w:rsidRPr="001949B8">
        <w:rPr>
          <w:lang w:val="cs-CZ"/>
        </w:rPr>
        <w:tab/>
      </w:r>
      <w:r w:rsidR="005E35A7" w:rsidRPr="001949B8">
        <w:rPr>
          <w:lang w:val="cs-CZ"/>
        </w:rPr>
        <w:t xml:space="preserve">       </w:t>
      </w:r>
      <w:r w:rsidR="00973152" w:rsidRPr="001949B8">
        <w:rPr>
          <w:lang w:val="cs-CZ"/>
        </w:rPr>
        <w:tab/>
      </w:r>
      <w:r w:rsidR="003A2DF4">
        <w:rPr>
          <w:b/>
          <w:lang w:val="cs-CZ"/>
        </w:rPr>
        <w:t>od 1. července 2024</w:t>
      </w:r>
    </w:p>
    <w:p w:rsidR="00E926F8" w:rsidRPr="001949B8" w:rsidRDefault="00E926F8" w:rsidP="00E926F8">
      <w:pPr>
        <w:pStyle w:val="Bezmezer"/>
        <w:numPr>
          <w:ilvl w:val="0"/>
          <w:numId w:val="0"/>
        </w:numPr>
        <w:ind w:left="709"/>
        <w:jc w:val="both"/>
        <w:rPr>
          <w:bCs/>
          <w:lang w:val="cs-CZ"/>
        </w:rPr>
      </w:pPr>
      <w:r w:rsidRPr="001949B8">
        <w:rPr>
          <w:lang w:val="cs-CZ"/>
        </w:rPr>
        <w:lastRenderedPageBreak/>
        <w:t xml:space="preserve">Jakékoliv přerušení prací musí být </w:t>
      </w:r>
      <w:r w:rsidR="008F7358" w:rsidRPr="001949B8">
        <w:rPr>
          <w:lang w:val="cs-CZ"/>
        </w:rPr>
        <w:t>objednateli</w:t>
      </w:r>
      <w:r w:rsidRPr="001949B8">
        <w:rPr>
          <w:lang w:val="cs-CZ"/>
        </w:rPr>
        <w:t xml:space="preserve"> řádně zdůvodněno, např. technologickými postupy, nepříznivými klimatickými podmínkami apod.</w:t>
      </w:r>
    </w:p>
    <w:p w:rsidR="00E926F8" w:rsidRPr="001949B8" w:rsidRDefault="00E926F8" w:rsidP="00E926F8">
      <w:pPr>
        <w:pStyle w:val="Bezmezer"/>
        <w:numPr>
          <w:ilvl w:val="0"/>
          <w:numId w:val="0"/>
        </w:numPr>
        <w:ind w:left="709"/>
        <w:jc w:val="both"/>
        <w:rPr>
          <w:b/>
          <w:lang w:val="cs-CZ"/>
        </w:rPr>
      </w:pPr>
    </w:p>
    <w:p w:rsidR="00E926F8" w:rsidRPr="001949B8" w:rsidRDefault="00E926F8" w:rsidP="001949B8">
      <w:pPr>
        <w:pStyle w:val="Bezmezer"/>
        <w:numPr>
          <w:ilvl w:val="0"/>
          <w:numId w:val="0"/>
        </w:numPr>
        <w:tabs>
          <w:tab w:val="left" w:pos="708"/>
          <w:tab w:val="left" w:pos="1416"/>
          <w:tab w:val="left" w:pos="2124"/>
          <w:tab w:val="left" w:pos="2832"/>
          <w:tab w:val="left" w:pos="3540"/>
          <w:tab w:val="left" w:pos="4248"/>
          <w:tab w:val="left" w:pos="4956"/>
          <w:tab w:val="left" w:pos="5664"/>
          <w:tab w:val="left" w:pos="7020"/>
        </w:tabs>
        <w:ind w:left="709"/>
        <w:jc w:val="both"/>
        <w:rPr>
          <w:rFonts w:asciiTheme="majorHAnsi" w:hAnsiTheme="majorHAnsi"/>
          <w:b/>
          <w:lang w:val="cs-CZ"/>
        </w:rPr>
      </w:pPr>
      <w:r w:rsidRPr="001949B8">
        <w:rPr>
          <w:b/>
          <w:lang w:val="cs-CZ"/>
        </w:rPr>
        <w:t>Ukončení díla</w:t>
      </w:r>
      <w:r w:rsidR="00973152" w:rsidRPr="001949B8">
        <w:rPr>
          <w:lang w:val="cs-CZ"/>
        </w:rPr>
        <w:t>:</w:t>
      </w:r>
      <w:r w:rsidR="00973152" w:rsidRPr="001949B8">
        <w:rPr>
          <w:lang w:val="cs-CZ"/>
        </w:rPr>
        <w:tab/>
      </w:r>
      <w:r w:rsidR="00973152" w:rsidRPr="001949B8">
        <w:rPr>
          <w:lang w:val="cs-CZ"/>
        </w:rPr>
        <w:tab/>
      </w:r>
      <w:r w:rsidR="00376EB9">
        <w:rPr>
          <w:b/>
          <w:bCs/>
        </w:rPr>
        <w:t xml:space="preserve">nejdéle do </w:t>
      </w:r>
      <w:r w:rsidR="003A2DF4">
        <w:rPr>
          <w:b/>
          <w:bCs/>
        </w:rPr>
        <w:t>26. srpna 2024</w:t>
      </w:r>
    </w:p>
    <w:p w:rsidR="00E926F8" w:rsidRPr="001949B8" w:rsidRDefault="00E926F8" w:rsidP="00E926F8">
      <w:pPr>
        <w:pStyle w:val="Bezmezer"/>
        <w:numPr>
          <w:ilvl w:val="0"/>
          <w:numId w:val="0"/>
        </w:numPr>
        <w:ind w:left="709"/>
        <w:jc w:val="both"/>
        <w:rPr>
          <w:lang w:val="cs-CZ"/>
        </w:rPr>
      </w:pPr>
      <w:r w:rsidRPr="001949B8">
        <w:rPr>
          <w:lang w:val="cs-CZ"/>
        </w:rPr>
        <w:t>Zhotovitel je oprávněn dokončit dílo i před sjednaným termínem.</w:t>
      </w:r>
    </w:p>
    <w:p w:rsidR="006C096D" w:rsidRDefault="00E926F8" w:rsidP="00A44C5F">
      <w:pPr>
        <w:pStyle w:val="Bezmezer"/>
        <w:numPr>
          <w:ilvl w:val="0"/>
          <w:numId w:val="0"/>
        </w:numPr>
        <w:ind w:left="709"/>
        <w:jc w:val="both"/>
        <w:rPr>
          <w:color w:val="000000"/>
          <w:lang w:val="cs-CZ"/>
        </w:rPr>
      </w:pPr>
      <w:r w:rsidRPr="001949B8">
        <w:rPr>
          <w:lang w:val="cs-CZ"/>
        </w:rPr>
        <w:t>Termín dokončení díla je shodný s </w:t>
      </w:r>
      <w:r w:rsidRPr="001949B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rsidR="00A44C5F" w:rsidRPr="00E31CD8" w:rsidRDefault="00A44C5F" w:rsidP="00A44C5F">
      <w:pPr>
        <w:pStyle w:val="Bezmezer"/>
        <w:numPr>
          <w:ilvl w:val="0"/>
          <w:numId w:val="0"/>
        </w:numPr>
        <w:ind w:left="709"/>
        <w:jc w:val="both"/>
        <w:rPr>
          <w:rFonts w:asciiTheme="minorHAnsi" w:hAnsiTheme="minorHAnsi"/>
          <w:lang w:val="cs-CZ"/>
        </w:rPr>
      </w:pPr>
    </w:p>
    <w:p w:rsidR="00A44C5F" w:rsidRPr="00E31CD8" w:rsidRDefault="00A44C5F" w:rsidP="00A44C5F">
      <w:pPr>
        <w:pStyle w:val="Bezmezer"/>
        <w:numPr>
          <w:ilvl w:val="0"/>
          <w:numId w:val="0"/>
        </w:numPr>
        <w:ind w:left="709"/>
        <w:jc w:val="both"/>
        <w:rPr>
          <w:rFonts w:asciiTheme="minorHAnsi" w:hAnsiTheme="minorHAnsi"/>
          <w:u w:val="single"/>
          <w:lang w:val="cs-CZ"/>
        </w:rPr>
      </w:pPr>
      <w:r w:rsidRPr="00E31CD8">
        <w:rPr>
          <w:rFonts w:asciiTheme="minorHAnsi" w:hAnsiTheme="minorHAnsi"/>
          <w:u w:val="single"/>
          <w:lang w:val="cs-CZ"/>
        </w:rPr>
        <w:t>Podmínky pro změnu sjednaných termínů:</w:t>
      </w:r>
    </w:p>
    <w:p w:rsidR="00A44C5F" w:rsidRDefault="00A44C5F" w:rsidP="00A44C5F">
      <w:pPr>
        <w:pStyle w:val="Bezmezer"/>
        <w:numPr>
          <w:ilvl w:val="0"/>
          <w:numId w:val="0"/>
        </w:numPr>
        <w:ind w:left="709"/>
        <w:jc w:val="both"/>
        <w:rPr>
          <w:rFonts w:asciiTheme="minorHAnsi" w:hAnsiTheme="minorHAnsi"/>
          <w:lang w:val="cs-CZ"/>
        </w:rPr>
      </w:pPr>
      <w:r w:rsidRPr="00E31CD8">
        <w:rPr>
          <w:rFonts w:asciiTheme="minorHAnsi" w:hAnsiTheme="minorHAnsi"/>
          <w:lang w:val="cs-CZ"/>
        </w:rPr>
        <w:t>Vícepráce a méněpráce, jej</w:t>
      </w:r>
      <w:r w:rsidR="002D47D7">
        <w:rPr>
          <w:rFonts w:asciiTheme="minorHAnsi" w:hAnsiTheme="minorHAnsi"/>
          <w:lang w:val="cs-CZ"/>
        </w:rPr>
        <w:t>ichž finanční objem nepřekročí 2</w:t>
      </w:r>
      <w:r w:rsidRPr="00E31CD8">
        <w:rPr>
          <w:rFonts w:asciiTheme="minorHAnsi" w:hAnsiTheme="minorHAnsi"/>
          <w:lang w:val="cs-CZ"/>
        </w:rPr>
        <w:t xml:space="preserve">% z ceny </w:t>
      </w:r>
      <w:r w:rsidRPr="00E31CD8">
        <w:rPr>
          <w:rFonts w:asciiTheme="minorHAnsi" w:hAnsiTheme="minorHAnsi"/>
          <w:color w:val="000000"/>
          <w:lang w:val="cs-CZ"/>
        </w:rPr>
        <w:t>díla bez DPH,</w:t>
      </w:r>
      <w:r w:rsidRPr="00E31CD8">
        <w:rPr>
          <w:rFonts w:asciiTheme="minorHAnsi" w:hAnsiTheme="minorHAnsi"/>
          <w:lang w:val="cs-CZ"/>
        </w:rPr>
        <w:t xml:space="preserve"> nemají vliv na termín dokončení a dílo bude dokončeno ve sjednaném termínu, pokud nebude dohodnuto jinak</w:t>
      </w:r>
      <w:r>
        <w:rPr>
          <w:rFonts w:asciiTheme="minorHAnsi" w:hAnsiTheme="minorHAnsi"/>
          <w:lang w:val="cs-CZ"/>
        </w:rPr>
        <w:t>.</w:t>
      </w:r>
    </w:p>
    <w:p w:rsidR="000052B6" w:rsidRPr="00A44C5F" w:rsidRDefault="000052B6" w:rsidP="00A44C5F">
      <w:pPr>
        <w:pStyle w:val="Bezmezer"/>
        <w:numPr>
          <w:ilvl w:val="0"/>
          <w:numId w:val="0"/>
        </w:numPr>
        <w:ind w:left="709"/>
        <w:jc w:val="both"/>
        <w:rPr>
          <w:rFonts w:asciiTheme="minorHAnsi" w:hAnsiTheme="minorHAnsi"/>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w:t>
      </w:r>
      <w:r w:rsidRPr="008F7358">
        <w:rPr>
          <w:lang w:val="cs-CZ"/>
        </w:rPr>
        <w:lastRenderedPageBreak/>
        <w:t>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w:t>
      </w:r>
      <w:r w:rsidRPr="008F7358">
        <w:rPr>
          <w:lang w:val="cs-CZ"/>
        </w:rPr>
        <w:lastRenderedPageBreak/>
        <w:t>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Default="000B7051" w:rsidP="000B7051">
      <w:pPr>
        <w:numPr>
          <w:ilvl w:val="0"/>
          <w:numId w:val="20"/>
        </w:numPr>
        <w:spacing w:afterLines="60" w:after="144"/>
        <w:jc w:val="both"/>
        <w:rPr>
          <w:lang w:val="cs-CZ"/>
        </w:rPr>
      </w:pPr>
      <w:r w:rsidRPr="008F7358">
        <w:rPr>
          <w:lang w:val="cs-CZ"/>
        </w:rPr>
        <w:lastRenderedPageBreak/>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413D3F" w:rsidRDefault="00413D3F" w:rsidP="00413D3F">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CD069A" w:rsidRDefault="000B7051" w:rsidP="00CD069A">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13D3F" w:rsidRPr="00413D3F" w:rsidRDefault="00413D3F" w:rsidP="00413D3F">
      <w:pPr>
        <w:numPr>
          <w:ilvl w:val="0"/>
          <w:numId w:val="21"/>
        </w:numPr>
        <w:spacing w:afterLines="60" w:after="144"/>
        <w:jc w:val="both"/>
        <w:rPr>
          <w:lang w:val="cs-CZ"/>
        </w:rPr>
      </w:pPr>
      <w:r w:rsidRPr="00413D3F">
        <w:rPr>
          <w:lang w:val="cs-CZ"/>
        </w:rPr>
        <w:t>V případě, že nedojde ze strany zhotovitele k předání dokumentů prokazující uplatnění zásady DNSH dle článku 16 této smlouvy, má se za to, že dílo není řádně předáno.</w:t>
      </w:r>
    </w:p>
    <w:p w:rsidR="00413D3F" w:rsidRPr="00CD069A" w:rsidRDefault="00413D3F" w:rsidP="00413D3F">
      <w:pPr>
        <w:spacing w:afterLines="60" w:after="144"/>
        <w:ind w:left="720"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lastRenderedPageBreak/>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CD069A" w:rsidRDefault="00FF0802" w:rsidP="00566A21">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413D3F" w:rsidRDefault="00413D3F" w:rsidP="00413D3F">
      <w:pPr>
        <w:pStyle w:val="Zkladntext2"/>
        <w:spacing w:line="240" w:lineRule="auto"/>
        <w:ind w:left="720" w:firstLine="0"/>
        <w:jc w:val="both"/>
        <w:rPr>
          <w:rFonts w:asciiTheme="minorHAnsi" w:hAnsiTheme="minorHAnsi"/>
          <w:color w:val="FF0000"/>
          <w:lang w:val="cs-CZ" w:eastAsia="ar-SA"/>
        </w:rPr>
      </w:pPr>
    </w:p>
    <w:p w:rsidR="00413D3F" w:rsidRPr="00566A21" w:rsidRDefault="00413D3F" w:rsidP="00413D3F">
      <w:pPr>
        <w:pStyle w:val="Zkladntext2"/>
        <w:spacing w:line="240" w:lineRule="auto"/>
        <w:ind w:left="720" w:firstLine="0"/>
        <w:jc w:val="both"/>
        <w:rPr>
          <w:rFonts w:asciiTheme="minorHAnsi" w:hAnsiTheme="minorHAnsi"/>
          <w:color w:val="FF0000"/>
          <w:lang w:val="cs-CZ" w:eastAsia="ar-SA"/>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BE1FD9">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C00920" w:rsidRPr="008F7358" w:rsidRDefault="00C00920" w:rsidP="00C00920">
      <w:pPr>
        <w:numPr>
          <w:ilvl w:val="0"/>
          <w:numId w:val="13"/>
        </w:numPr>
        <w:spacing w:after="0"/>
        <w:jc w:val="both"/>
        <w:rPr>
          <w:lang w:val="cs-CZ"/>
        </w:rPr>
      </w:pPr>
      <w:r w:rsidRPr="008F7358">
        <w:rPr>
          <w:lang w:val="cs-CZ"/>
        </w:rPr>
        <w:t xml:space="preserve">Při </w:t>
      </w:r>
      <w:r w:rsidRPr="008F7358">
        <w:rPr>
          <w:b/>
          <w:u w:val="single"/>
          <w:lang w:val="cs-CZ"/>
        </w:rPr>
        <w:t xml:space="preserve">prodlení s termínem ukončení a předání </w:t>
      </w:r>
      <w:r w:rsidR="00584933">
        <w:rPr>
          <w:b/>
          <w:u w:val="single"/>
          <w:lang w:val="cs-CZ"/>
        </w:rPr>
        <w:t xml:space="preserve">díla </w:t>
      </w:r>
      <w:r w:rsidRPr="008F7358">
        <w:rPr>
          <w:lang w:val="cs-CZ"/>
        </w:rPr>
        <w:t xml:space="preserve">je objednatel oprávněn účtovat zhotoviteli smluvní pokutu ve výši 0,10% z ceny díla bez DPH za každý i započatý den prodlení až do dne úspěšného předání a převzetí </w:t>
      </w:r>
      <w:r w:rsidR="00584933">
        <w:rPr>
          <w:lang w:val="cs-CZ"/>
        </w:rPr>
        <w:t>díla</w:t>
      </w:r>
      <w:r w:rsidRPr="008F7358">
        <w:rPr>
          <w:lang w:val="cs-CZ"/>
        </w:rPr>
        <w:t>.</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lastRenderedPageBreak/>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052B6" w:rsidRDefault="000052B6" w:rsidP="000052B6">
      <w:pPr>
        <w:pStyle w:val="NormlnIMP0"/>
        <w:spacing w:line="240" w:lineRule="auto"/>
        <w:ind w:left="426"/>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rsidR="000576E4" w:rsidRPr="008F7358" w:rsidRDefault="000576E4" w:rsidP="000576E4">
      <w:pPr>
        <w:pStyle w:val="Odstavecseseznamem"/>
        <w:spacing w:after="0"/>
        <w:ind w:left="993"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w:t>
      </w:r>
      <w:r w:rsidRPr="008F7358">
        <w:rPr>
          <w:lang w:val="cs-CZ"/>
        </w:rPr>
        <w:lastRenderedPageBreak/>
        <w:t xml:space="preserve">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052B6" w:rsidRPr="008F7358" w:rsidRDefault="000052B6" w:rsidP="000052B6">
      <w:pPr>
        <w:ind w:left="357"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566A21">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ust.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566A21">
        <w:rPr>
          <w:lang w:val="cs-CZ"/>
        </w:rPr>
        <w:t>, minimálně však do 31. 12. 2034</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566A21">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0052B6">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 xml:space="preserve">s podílem spoluúčasti zhotovitele ve výši min. 5.000,-Kč. </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lastRenderedPageBreak/>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0052B6" w:rsidRPr="006A1D86" w:rsidRDefault="000052B6" w:rsidP="000052B6">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052B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C5FB0" w:rsidRDefault="000C5FB0" w:rsidP="000C5FB0">
      <w:pPr>
        <w:spacing w:afterLines="60" w:after="144"/>
        <w:ind w:left="709" w:firstLine="0"/>
        <w:jc w:val="both"/>
        <w:rPr>
          <w:lang w:val="cs-CZ"/>
        </w:rPr>
      </w:pPr>
    </w:p>
    <w:p w:rsidR="000C5FB0" w:rsidRPr="00F546DF" w:rsidRDefault="000C5FB0" w:rsidP="000C5FB0">
      <w:pPr>
        <w:spacing w:before="120" w:after="120"/>
        <w:ind w:left="850" w:hanging="425"/>
        <w:jc w:val="center"/>
        <w:rPr>
          <w:b/>
          <w:bCs/>
        </w:rPr>
      </w:pPr>
      <w:r>
        <w:rPr>
          <w:b/>
          <w:bCs/>
        </w:rPr>
        <w:t>Článek 16</w:t>
      </w:r>
    </w:p>
    <w:p w:rsidR="000C5FB0" w:rsidRPr="008F7358" w:rsidRDefault="000C5FB0" w:rsidP="000C5FB0">
      <w:pPr>
        <w:spacing w:before="120" w:after="120"/>
        <w:ind w:left="850" w:hanging="425"/>
        <w:jc w:val="center"/>
        <w:rPr>
          <w:b/>
          <w:caps/>
          <w:lang w:val="cs-CZ"/>
        </w:rPr>
      </w:pPr>
      <w:r>
        <w:rPr>
          <w:b/>
          <w:caps/>
          <w:lang w:val="cs-CZ"/>
        </w:rPr>
        <w:t>UPLATNĚNÍ ZÁSADY DNSH</w:t>
      </w:r>
    </w:p>
    <w:p w:rsidR="000C5FB0" w:rsidRDefault="000C5FB0" w:rsidP="000C5FB0">
      <w:pPr>
        <w:pStyle w:val="Bezmezer"/>
        <w:numPr>
          <w:ilvl w:val="0"/>
          <w:numId w:val="15"/>
        </w:numPr>
        <w:jc w:val="both"/>
        <w:rPr>
          <w:lang w:val="cs-CZ"/>
        </w:rPr>
      </w:pPr>
      <w:r>
        <w:rPr>
          <w:lang w:val="cs-CZ"/>
        </w:rPr>
        <w:t xml:space="preserve">Zhotovitel je povinen postupovat při provádění díla v souladu se zásadou </w:t>
      </w:r>
      <w:r w:rsidRPr="00660F1E">
        <w:rPr>
          <w:lang w:val="cs-CZ"/>
        </w:rPr>
        <w:t>Do No Significant Harm (</w:t>
      </w:r>
      <w:r>
        <w:rPr>
          <w:lang w:val="cs-CZ"/>
        </w:rPr>
        <w:t>dále jen „</w:t>
      </w:r>
      <w:r w:rsidRPr="00660F1E">
        <w:rPr>
          <w:lang w:val="cs-CZ"/>
        </w:rPr>
        <w:t>DNSH</w:t>
      </w:r>
      <w:r>
        <w:rPr>
          <w:lang w:val="cs-CZ"/>
        </w:rPr>
        <w:t>“) nebo-li zásadou</w:t>
      </w:r>
      <w:r w:rsidRPr="00660F1E">
        <w:rPr>
          <w:lang w:val="cs-CZ"/>
        </w:rPr>
        <w:t xml:space="preserve"> „významně nepoškozovat“ životní </w:t>
      </w:r>
      <w:r>
        <w:rPr>
          <w:lang w:val="cs-CZ"/>
        </w:rPr>
        <w:t>prostředí při realizaci projektu.</w:t>
      </w:r>
    </w:p>
    <w:p w:rsidR="000C5FB0" w:rsidRDefault="000C5FB0" w:rsidP="000C5FB0">
      <w:pPr>
        <w:pStyle w:val="Bezmezer"/>
        <w:numPr>
          <w:ilvl w:val="0"/>
          <w:numId w:val="15"/>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rsidR="000C5FB0" w:rsidRDefault="000C5FB0" w:rsidP="000C5FB0">
      <w:pPr>
        <w:pStyle w:val="Bezmezer"/>
        <w:numPr>
          <w:ilvl w:val="1"/>
          <w:numId w:val="15"/>
        </w:numPr>
        <w:jc w:val="both"/>
        <w:rPr>
          <w:lang w:val="cs-CZ"/>
        </w:rPr>
      </w:pPr>
      <w:r w:rsidRPr="00660F1E">
        <w:rPr>
          <w:lang w:val="cs-CZ"/>
        </w:rPr>
        <w:t xml:space="preserve">zmírňování změny klimatu, </w:t>
      </w:r>
    </w:p>
    <w:p w:rsidR="000C5FB0" w:rsidRDefault="000C5FB0" w:rsidP="000C5FB0">
      <w:pPr>
        <w:pStyle w:val="Bezmezer"/>
        <w:numPr>
          <w:ilvl w:val="1"/>
          <w:numId w:val="15"/>
        </w:numPr>
        <w:jc w:val="both"/>
        <w:rPr>
          <w:lang w:val="cs-CZ"/>
        </w:rPr>
      </w:pPr>
      <w:r w:rsidRPr="00660F1E">
        <w:rPr>
          <w:lang w:val="cs-CZ"/>
        </w:rPr>
        <w:t xml:space="preserve">adaptace na změnu klimatu, </w:t>
      </w:r>
    </w:p>
    <w:p w:rsidR="000C5FB0" w:rsidRDefault="000C5FB0" w:rsidP="000C5FB0">
      <w:pPr>
        <w:pStyle w:val="Bezmezer"/>
        <w:numPr>
          <w:ilvl w:val="1"/>
          <w:numId w:val="15"/>
        </w:numPr>
        <w:jc w:val="both"/>
        <w:rPr>
          <w:lang w:val="cs-CZ"/>
        </w:rPr>
      </w:pPr>
      <w:r w:rsidRPr="00660F1E">
        <w:rPr>
          <w:lang w:val="cs-CZ"/>
        </w:rPr>
        <w:t xml:space="preserve">udržitelné využívání a ochrana vodních a mořských zdrojů, </w:t>
      </w:r>
    </w:p>
    <w:p w:rsidR="000C5FB0" w:rsidRDefault="000C5FB0" w:rsidP="000C5FB0">
      <w:pPr>
        <w:pStyle w:val="Bezmezer"/>
        <w:numPr>
          <w:ilvl w:val="1"/>
          <w:numId w:val="15"/>
        </w:numPr>
        <w:jc w:val="both"/>
        <w:rPr>
          <w:lang w:val="cs-CZ"/>
        </w:rPr>
      </w:pPr>
      <w:r w:rsidRPr="00660F1E">
        <w:rPr>
          <w:lang w:val="cs-CZ"/>
        </w:rPr>
        <w:t>oběhové hospodářství včetně předcházení vzniku odpadů a recyklace,</w:t>
      </w:r>
    </w:p>
    <w:p w:rsidR="000C5FB0" w:rsidRDefault="000C5FB0" w:rsidP="000C5FB0">
      <w:pPr>
        <w:pStyle w:val="Bezmezer"/>
        <w:numPr>
          <w:ilvl w:val="1"/>
          <w:numId w:val="15"/>
        </w:numPr>
        <w:jc w:val="both"/>
        <w:rPr>
          <w:lang w:val="cs-CZ"/>
        </w:rPr>
      </w:pPr>
      <w:r w:rsidRPr="00660F1E">
        <w:rPr>
          <w:lang w:val="cs-CZ"/>
        </w:rPr>
        <w:t xml:space="preserve">prevence a omezování znečištění, </w:t>
      </w:r>
    </w:p>
    <w:p w:rsidR="000C5FB0" w:rsidRPr="00660F1E" w:rsidRDefault="000C5FB0" w:rsidP="000C5FB0">
      <w:pPr>
        <w:pStyle w:val="Bezmezer"/>
        <w:numPr>
          <w:ilvl w:val="1"/>
          <w:numId w:val="15"/>
        </w:numPr>
        <w:jc w:val="both"/>
        <w:rPr>
          <w:lang w:val="cs-CZ"/>
        </w:rPr>
      </w:pPr>
      <w:r w:rsidRPr="00660F1E">
        <w:rPr>
          <w:lang w:val="cs-CZ"/>
        </w:rPr>
        <w:lastRenderedPageBreak/>
        <w:t xml:space="preserve">ochrana a obnova biodiverzity a ekosystémů.   </w:t>
      </w:r>
    </w:p>
    <w:p w:rsidR="000C5FB0" w:rsidRPr="00515357" w:rsidRDefault="000C5FB0" w:rsidP="000C5FB0">
      <w:pPr>
        <w:pStyle w:val="Bezmezer"/>
        <w:numPr>
          <w:ilvl w:val="0"/>
          <w:numId w:val="15"/>
        </w:numPr>
        <w:jc w:val="both"/>
        <w:rPr>
          <w:lang w:val="cs-CZ"/>
        </w:rPr>
      </w:pPr>
      <w:r>
        <w:rPr>
          <w:lang w:val="cs-CZ"/>
        </w:rPr>
        <w:t>Zhotovitel je povinen při předání díla objednateli doložit, jak splnil uplatnění zásady DNSH.</w:t>
      </w:r>
    </w:p>
    <w:p w:rsidR="000C5FB0" w:rsidRDefault="000C5FB0" w:rsidP="000C5FB0">
      <w:pPr>
        <w:spacing w:afterLines="60" w:after="144"/>
        <w:ind w:left="709" w:firstLine="0"/>
        <w:jc w:val="both"/>
        <w:rPr>
          <w:lang w:val="cs-CZ"/>
        </w:rPr>
      </w:pPr>
    </w:p>
    <w:p w:rsidR="000B7051" w:rsidRPr="008F7358" w:rsidRDefault="000C5FB0" w:rsidP="000B7051">
      <w:pPr>
        <w:pStyle w:val="Nadpis1"/>
        <w:spacing w:before="240"/>
        <w:ind w:left="4253" w:hanging="3827"/>
        <w:jc w:val="center"/>
        <w:rPr>
          <w:b w:val="0"/>
        </w:rPr>
      </w:pPr>
      <w:r>
        <w:rPr>
          <w:sz w:val="22"/>
          <w:szCs w:val="22"/>
        </w:rPr>
        <w:t>Článek 17</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1: </w:t>
      </w:r>
      <w:r w:rsidRPr="000E1319">
        <w:rPr>
          <w:rFonts w:asciiTheme="majorHAnsi" w:hAnsiTheme="majorHAnsi" w:cs="Arial"/>
          <w:i/>
          <w:szCs w:val="22"/>
        </w:rPr>
        <w:tab/>
        <w:t>Položkový rozpočet díla</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2:  Časový harmonogram realizace díla </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Příloha č. 3:  Seznam poddodavatelů</w:t>
      </w:r>
    </w:p>
    <w:p w:rsidR="00BE070F" w:rsidRDefault="00BE070F" w:rsidP="00BE070F">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0E1319">
        <w:rPr>
          <w:rStyle w:val="BezmezerChar"/>
          <w:rFonts w:asciiTheme="minorHAnsi" w:hAnsiTheme="minorHAnsi"/>
          <w:i/>
          <w:lang w:val="cs-CZ"/>
        </w:rPr>
        <w:t xml:space="preserve">Příloha č. 4:  </w:t>
      </w:r>
      <w:r w:rsidRPr="000E1319">
        <w:rPr>
          <w:rFonts w:asciiTheme="minorHAnsi" w:hAnsiTheme="minorHAnsi"/>
          <w:i/>
        </w:rPr>
        <w:t xml:space="preserve">Pojistná smlouva na </w:t>
      </w:r>
      <w:r w:rsidRPr="000E1319">
        <w:rPr>
          <w:rStyle w:val="BezmezerChar"/>
          <w:rFonts w:asciiTheme="minorHAnsi" w:hAnsiTheme="minorHAnsi"/>
          <w:i/>
          <w:lang w:val="cs-CZ"/>
        </w:rPr>
        <w:t xml:space="preserve">pojištění odpovědnosti vítězného </w:t>
      </w:r>
      <w:r>
        <w:rPr>
          <w:rStyle w:val="BezmezerChar"/>
          <w:rFonts w:asciiTheme="minorHAnsi" w:hAnsiTheme="minorHAnsi"/>
          <w:i/>
          <w:lang w:val="cs-CZ"/>
        </w:rPr>
        <w:t>účastníka</w:t>
      </w:r>
    </w:p>
    <w:p w:rsidR="000C5FB0" w:rsidRPr="000E1319" w:rsidRDefault="000C5FB0" w:rsidP="00BE070F">
      <w:pPr>
        <w:pStyle w:val="Zkladntextodsazen31"/>
        <w:shd w:val="clear" w:color="auto" w:fill="FFFFFF" w:themeFill="background1"/>
        <w:tabs>
          <w:tab w:val="num" w:pos="851"/>
        </w:tabs>
        <w:ind w:left="851" w:firstLine="142"/>
        <w:rPr>
          <w:rFonts w:asciiTheme="minorHAnsi" w:hAnsiTheme="minorHAnsi"/>
          <w:i/>
          <w:szCs w:val="22"/>
          <w:lang w:eastAsia="en-US" w:bidi="en-US"/>
        </w:rPr>
      </w:pPr>
      <w:r>
        <w:rPr>
          <w:rStyle w:val="BezmezerChar"/>
          <w:rFonts w:asciiTheme="minorHAnsi" w:hAnsiTheme="minorHAnsi"/>
          <w:i/>
          <w:lang w:val="cs-CZ"/>
        </w:rPr>
        <w:t>Příloha č. 5: DNSH</w:t>
      </w:r>
    </w:p>
    <w:p w:rsidR="00BE070F" w:rsidRPr="000E1319" w:rsidRDefault="00BE070F" w:rsidP="00BE070F">
      <w:pPr>
        <w:ind w:left="709" w:firstLine="0"/>
        <w:jc w:val="both"/>
        <w:rPr>
          <w:rFonts w:asciiTheme="majorHAnsi" w:hAnsiTheme="majorHAnsi" w:cs="Arial"/>
          <w:b/>
          <w:i/>
          <w:color w:val="0000FF"/>
          <w:u w:val="single"/>
          <w:lang w:val="cs-CZ"/>
        </w:rPr>
      </w:pPr>
    </w:p>
    <w:p w:rsidR="00BE070F" w:rsidRPr="000E1319" w:rsidRDefault="00BE070F" w:rsidP="00BE070F">
      <w:pPr>
        <w:ind w:left="709" w:firstLine="0"/>
        <w:jc w:val="both"/>
        <w:rPr>
          <w:rFonts w:asciiTheme="majorHAnsi" w:hAnsiTheme="majorHAnsi" w:cs="Arial"/>
          <w:b/>
          <w:i/>
          <w:color w:val="0000FF"/>
          <w:u w:val="single"/>
          <w:lang w:val="cs-CZ"/>
        </w:rPr>
      </w:pPr>
      <w:r w:rsidRPr="000E1319">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 a č. 4</w:t>
      </w:r>
      <w:r w:rsidR="002655FA">
        <w:rPr>
          <w:rFonts w:asciiTheme="majorHAnsi" w:hAnsiTheme="majorHAnsi" w:cs="Arial"/>
          <w:b/>
          <w:i/>
          <w:color w:val="0000FF"/>
          <w:u w:val="single"/>
          <w:lang w:val="cs-CZ"/>
        </w:rPr>
        <w:t xml:space="preserve"> a č. 5</w:t>
      </w:r>
      <w:r w:rsidRPr="000E1319">
        <w:rPr>
          <w:rFonts w:asciiTheme="majorHAnsi" w:hAnsiTheme="majorHAnsi" w:cs="Arial"/>
          <w:b/>
          <w:i/>
          <w:color w:val="0000FF"/>
          <w:u w:val="single"/>
          <w:lang w:val="cs-CZ"/>
        </w:rPr>
        <w:t xml:space="preserve"> nejsou součástí nabídky.</w:t>
      </w:r>
    </w:p>
    <w:p w:rsidR="000052B6" w:rsidRPr="008F7358" w:rsidRDefault="000052B6" w:rsidP="000052B6">
      <w:pPr>
        <w:ind w:left="708" w:firstLine="0"/>
        <w:contextualSpacing/>
        <w:jc w:val="both"/>
        <w:rPr>
          <w:rFonts w:asciiTheme="minorHAnsi" w:hAnsiTheme="minorHAnsi"/>
          <w:highlight w:val="lightGray"/>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 xml:space="preserve">             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2E7910">
        <w:rPr>
          <w:rFonts w:asciiTheme="minorHAnsi" w:hAnsiTheme="minorHAnsi"/>
          <w:lang w:val="cs-CZ"/>
        </w:rPr>
        <w:t> </w:t>
      </w:r>
      <w:r w:rsidR="00AD7CD9">
        <w:rPr>
          <w:rFonts w:asciiTheme="minorHAnsi" w:hAnsiTheme="minorHAnsi"/>
          <w:lang w:val="cs-CZ"/>
        </w:rPr>
        <w:t>Lubech</w:t>
      </w:r>
      <w:r w:rsidR="008F7358">
        <w:rPr>
          <w:rFonts w:asciiTheme="minorHAnsi" w:hAnsiTheme="minorHAnsi"/>
          <w:lang w:val="cs-CZ"/>
        </w:rPr>
        <w:t xml:space="preserve"> </w:t>
      </w:r>
      <w:r w:rsidR="00945A81">
        <w:rPr>
          <w:rFonts w:asciiTheme="minorHAnsi" w:hAnsiTheme="minorHAnsi"/>
          <w:lang w:val="cs-CZ"/>
        </w:rPr>
        <w:t>dne</w:t>
      </w:r>
      <w:r w:rsidR="004477E1">
        <w:rPr>
          <w:rFonts w:asciiTheme="minorHAnsi" w:hAnsiTheme="minorHAnsi"/>
          <w:lang w:val="cs-CZ"/>
        </w:rPr>
        <w:t xml:space="preserve"> </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V</w:t>
      </w:r>
      <w:r w:rsidR="004477E1">
        <w:rPr>
          <w:rFonts w:asciiTheme="minorHAnsi" w:hAnsiTheme="minorHAnsi"/>
          <w:lang w:val="cs-CZ"/>
        </w:rPr>
        <w:t xml:space="preserve"> </w:t>
      </w:r>
      <w:r w:rsidR="00622CF2">
        <w:rPr>
          <w:rFonts w:asciiTheme="minorHAnsi" w:hAnsiTheme="minorHAnsi"/>
          <w:lang w:val="cs-CZ"/>
        </w:rPr>
        <w:t>………………………</w:t>
      </w:r>
      <w:r w:rsidRPr="008F7358">
        <w:rPr>
          <w:rFonts w:asciiTheme="minorHAnsi" w:hAnsiTheme="minorHAnsi"/>
          <w:lang w:val="cs-CZ"/>
        </w:rPr>
        <w:t>..</w:t>
      </w:r>
      <w:r w:rsidR="004477E1">
        <w:rPr>
          <w:rFonts w:asciiTheme="minorHAnsi" w:hAnsiTheme="minorHAnsi"/>
          <w:lang w:val="cs-CZ"/>
        </w:rPr>
        <w:t xml:space="preserve"> </w:t>
      </w:r>
      <w:r w:rsidRPr="008F7358">
        <w:rPr>
          <w:rFonts w:asciiTheme="minorHAnsi" w:hAnsiTheme="minorHAnsi"/>
          <w:lang w:val="cs-CZ"/>
        </w:rPr>
        <w:t>dne</w:t>
      </w:r>
      <w:r w:rsidR="004477E1">
        <w:rPr>
          <w:rFonts w:asciiTheme="minorHAnsi" w:hAnsiTheme="minorHAnsi"/>
          <w:lang w:val="cs-CZ"/>
        </w:rPr>
        <w:t xml:space="preserve"> </w:t>
      </w:r>
      <w:r w:rsidRPr="008F7358">
        <w:rPr>
          <w:rFonts w:asciiTheme="minorHAnsi" w:hAnsiTheme="minorHAnsi"/>
          <w:lang w:val="cs-CZ"/>
        </w:rPr>
        <w:t>………………….</w:t>
      </w:r>
    </w:p>
    <w:p w:rsidR="000B7051" w:rsidRPr="008F7358" w:rsidRDefault="00AD05CC" w:rsidP="000B7051">
      <w:pPr>
        <w:ind w:left="851" w:hanging="425"/>
        <w:contextualSpacing/>
        <w:jc w:val="both"/>
        <w:rPr>
          <w:rFonts w:asciiTheme="minorHAnsi" w:hAnsiTheme="minorHAnsi"/>
          <w:lang w:val="cs-CZ"/>
        </w:rPr>
      </w:pP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sidRPr="0003189E">
        <w:rPr>
          <w:rFonts w:asciiTheme="majorHAnsi" w:hAnsiTheme="majorHAnsi" w:cs="Arial"/>
          <w:i/>
          <w:iCs/>
          <w:color w:val="0000FF"/>
          <w:lang w:val="cs-CZ"/>
        </w:rPr>
        <w:t>(účastník doplní</w:t>
      </w:r>
      <w:r w:rsidRPr="0003189E">
        <w:rPr>
          <w:rStyle w:val="Siln"/>
          <w:bCs w:val="0"/>
          <w:lang w:val="cs-CZ"/>
        </w:rPr>
        <w:t xml:space="preserve"> </w:t>
      </w:r>
      <w:r w:rsidRPr="0003189E">
        <w:rPr>
          <w:rFonts w:asciiTheme="majorHAnsi" w:hAnsiTheme="majorHAnsi" w:cs="Arial"/>
          <w:i/>
          <w:iCs/>
          <w:color w:val="0000FF"/>
          <w:lang w:val="cs-CZ"/>
        </w:rPr>
        <w:t>údaje)</w:t>
      </w:r>
    </w:p>
    <w:p w:rsidR="000B7051" w:rsidRDefault="000B7051" w:rsidP="000B7051">
      <w:pPr>
        <w:ind w:firstLine="0"/>
        <w:contextualSpacing/>
        <w:jc w:val="both"/>
        <w:rPr>
          <w:rFonts w:asciiTheme="minorHAnsi" w:hAnsiTheme="minorHAnsi"/>
          <w:lang w:val="cs-CZ"/>
        </w:rPr>
      </w:pPr>
    </w:p>
    <w:p w:rsidR="00967DFD" w:rsidRPr="008F7358" w:rsidRDefault="00967DFD" w:rsidP="000B7051">
      <w:pPr>
        <w:ind w:firstLine="0"/>
        <w:contextualSpacing/>
        <w:jc w:val="both"/>
        <w:rPr>
          <w:rFonts w:asciiTheme="minorHAnsi" w:hAnsiTheme="minorHAnsi"/>
          <w:lang w:val="cs-CZ"/>
        </w:rPr>
      </w:pPr>
      <w:bookmarkStart w:id="0" w:name="_GoBack"/>
      <w:bookmarkEnd w:id="0"/>
    </w:p>
    <w:p w:rsidR="000B7051" w:rsidRPr="008F7358" w:rsidRDefault="000B7051"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w:t>
      </w:r>
    </w:p>
    <w:p w:rsidR="00561802" w:rsidRPr="001949B8" w:rsidRDefault="00AD7CD9" w:rsidP="00561802">
      <w:pPr>
        <w:autoSpaceDE w:val="0"/>
        <w:autoSpaceDN w:val="0"/>
        <w:adjustRightInd w:val="0"/>
        <w:rPr>
          <w:rFonts w:cs="Arial"/>
          <w:b/>
          <w:lang w:val="cs-CZ"/>
        </w:rPr>
      </w:pPr>
      <w:r w:rsidRPr="00AD7CD9">
        <w:rPr>
          <w:rFonts w:asciiTheme="minorHAnsi" w:hAnsiTheme="minorHAnsi" w:cs="Arial"/>
          <w:lang w:val="cs-CZ"/>
        </w:rPr>
        <w:t>Ing. Vladimír Vorm</w:t>
      </w:r>
      <w:r w:rsidR="00E80FE3" w:rsidRPr="001949B8">
        <w:rPr>
          <w:rFonts w:cs="Arial"/>
          <w:b/>
          <w:lang w:val="cs-CZ"/>
        </w:rPr>
        <w:tab/>
      </w:r>
      <w:r w:rsidR="00561802" w:rsidRPr="001949B8">
        <w:rPr>
          <w:rFonts w:asciiTheme="majorHAnsi" w:hAnsiTheme="majorHAnsi" w:cs="Arial"/>
          <w:b/>
          <w:i/>
          <w:iCs/>
          <w:color w:val="0000FF"/>
          <w:lang w:val="cs-CZ"/>
        </w:rPr>
        <w:t xml:space="preserve">                        </w:t>
      </w:r>
      <w:r w:rsidR="002E7910">
        <w:rPr>
          <w:rFonts w:asciiTheme="majorHAnsi" w:hAnsiTheme="majorHAnsi" w:cs="Arial"/>
          <w:b/>
          <w:i/>
          <w:iCs/>
          <w:color w:val="0000FF"/>
          <w:lang w:val="cs-CZ"/>
        </w:rPr>
        <w:t xml:space="preserve">  </w:t>
      </w:r>
      <w:r w:rsidR="002E7910">
        <w:rPr>
          <w:rFonts w:asciiTheme="majorHAnsi" w:hAnsiTheme="majorHAnsi" w:cs="Arial"/>
          <w:b/>
          <w:i/>
          <w:iCs/>
          <w:color w:val="0000FF"/>
          <w:lang w:val="cs-CZ"/>
        </w:rPr>
        <w:tab/>
      </w:r>
      <w:r w:rsidR="002E7910">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413D3F" w:rsidRDefault="0071377F" w:rsidP="00413D3F">
      <w:pPr>
        <w:autoSpaceDE w:val="0"/>
        <w:autoSpaceDN w:val="0"/>
        <w:adjustRightInd w:val="0"/>
        <w:rPr>
          <w:rStyle w:val="Nadpis2Char"/>
          <w:rFonts w:asciiTheme="minorHAnsi" w:eastAsia="Times New Roman" w:hAnsiTheme="minorHAnsi" w:cs="Arial"/>
          <w:b w:val="0"/>
          <w:bCs w:val="0"/>
          <w:sz w:val="22"/>
          <w:szCs w:val="22"/>
          <w:lang w:val="cs-CZ"/>
        </w:rPr>
      </w:pPr>
      <w:r>
        <w:rPr>
          <w:rFonts w:asciiTheme="minorHAnsi" w:hAnsiTheme="minorHAnsi" w:cs="Arial"/>
          <w:lang w:val="cs-CZ"/>
        </w:rPr>
        <w:t xml:space="preserve">starosta </w:t>
      </w:r>
      <w:r w:rsidR="00AD7CD9">
        <w:rPr>
          <w:rFonts w:asciiTheme="minorHAnsi" w:hAnsiTheme="minorHAnsi" w:cs="Arial"/>
          <w:lang w:val="cs-CZ"/>
        </w:rPr>
        <w:t>města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sectPr w:rsidR="00181577" w:rsidRPr="00413D3F" w:rsidSect="00413D3F">
      <w:footerReference w:type="default" r:id="rId12"/>
      <w:pgSz w:w="11906" w:h="16838"/>
      <w:pgMar w:top="1135" w:right="1417" w:bottom="993" w:left="1134" w:header="708" w:footer="46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062C71">
          <w:rPr>
            <w:noProof/>
          </w:rPr>
          <w:t>- 15 -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4EA30F3"/>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B02013"/>
    <w:multiLevelType w:val="hybridMultilevel"/>
    <w:tmpl w:val="A9E65E14"/>
    <w:lvl w:ilvl="0" w:tplc="BC50E924">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4"/>
  </w:num>
  <w:num w:numId="2">
    <w:abstractNumId w:val="18"/>
  </w:num>
  <w:num w:numId="3">
    <w:abstractNumId w:val="35"/>
  </w:num>
  <w:num w:numId="4">
    <w:abstractNumId w:val="2"/>
  </w:num>
  <w:num w:numId="5">
    <w:abstractNumId w:val="19"/>
  </w:num>
  <w:num w:numId="6">
    <w:abstractNumId w:val="16"/>
  </w:num>
  <w:num w:numId="7">
    <w:abstractNumId w:val="12"/>
  </w:num>
  <w:num w:numId="8">
    <w:abstractNumId w:val="6"/>
  </w:num>
  <w:num w:numId="9">
    <w:abstractNumId w:val="29"/>
  </w:num>
  <w:num w:numId="10">
    <w:abstractNumId w:val="3"/>
  </w:num>
  <w:num w:numId="11">
    <w:abstractNumId w:val="46"/>
  </w:num>
  <w:num w:numId="12">
    <w:abstractNumId w:val="32"/>
  </w:num>
  <w:num w:numId="13">
    <w:abstractNumId w:val="43"/>
  </w:num>
  <w:num w:numId="14">
    <w:abstractNumId w:val="10"/>
  </w:num>
  <w:num w:numId="15">
    <w:abstractNumId w:val="37"/>
  </w:num>
  <w:num w:numId="16">
    <w:abstractNumId w:val="9"/>
  </w:num>
  <w:num w:numId="17">
    <w:abstractNumId w:val="25"/>
  </w:num>
  <w:num w:numId="18">
    <w:abstractNumId w:val="15"/>
  </w:num>
  <w:num w:numId="19">
    <w:abstractNumId w:val="34"/>
  </w:num>
  <w:num w:numId="20">
    <w:abstractNumId w:val="30"/>
  </w:num>
  <w:num w:numId="21">
    <w:abstractNumId w:val="28"/>
  </w:num>
  <w:num w:numId="22">
    <w:abstractNumId w:val="7"/>
  </w:num>
  <w:num w:numId="23">
    <w:abstractNumId w:val="23"/>
  </w:num>
  <w:num w:numId="24">
    <w:abstractNumId w:val="45"/>
  </w:num>
  <w:num w:numId="25">
    <w:abstractNumId w:val="0"/>
    <w:lvlOverride w:ilvl="0">
      <w:startOverride w:val="1"/>
    </w:lvlOverride>
  </w:num>
  <w:num w:numId="26">
    <w:abstractNumId w:val="13"/>
  </w:num>
  <w:num w:numId="27">
    <w:abstractNumId w:val="21"/>
  </w:num>
  <w:num w:numId="28">
    <w:abstractNumId w:val="8"/>
  </w:num>
  <w:num w:numId="29">
    <w:abstractNumId w:val="47"/>
  </w:num>
  <w:num w:numId="30">
    <w:abstractNumId w:val="31"/>
  </w:num>
  <w:num w:numId="31">
    <w:abstractNumId w:val="17"/>
  </w:num>
  <w:num w:numId="32">
    <w:abstractNumId w:val="22"/>
  </w:num>
  <w:num w:numId="33">
    <w:abstractNumId w:val="27"/>
  </w:num>
  <w:num w:numId="34">
    <w:abstractNumId w:val="5"/>
  </w:num>
  <w:num w:numId="35">
    <w:abstractNumId w:val="24"/>
  </w:num>
  <w:num w:numId="36">
    <w:abstractNumId w:val="26"/>
  </w:num>
  <w:num w:numId="37">
    <w:abstractNumId w:val="20"/>
  </w:num>
  <w:num w:numId="38">
    <w:abstractNumId w:val="36"/>
  </w:num>
  <w:num w:numId="39">
    <w:abstractNumId w:val="40"/>
  </w:num>
  <w:num w:numId="40">
    <w:abstractNumId w:val="41"/>
  </w:num>
  <w:num w:numId="41">
    <w:abstractNumId w:val="33"/>
  </w:num>
  <w:num w:numId="42">
    <w:abstractNumId w:val="11"/>
  </w:num>
  <w:num w:numId="43">
    <w:abstractNumId w:val="14"/>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4"/>
  </w:num>
  <w:num w:numId="47">
    <w:abstractNumId w:val="42"/>
  </w:num>
  <w:num w:numId="48">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3792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52B6"/>
    <w:rsid w:val="00011DBC"/>
    <w:rsid w:val="000142C2"/>
    <w:rsid w:val="0002504B"/>
    <w:rsid w:val="000255A2"/>
    <w:rsid w:val="00026D8C"/>
    <w:rsid w:val="0003189E"/>
    <w:rsid w:val="00031A69"/>
    <w:rsid w:val="00035E8B"/>
    <w:rsid w:val="00044155"/>
    <w:rsid w:val="00045325"/>
    <w:rsid w:val="00045EF2"/>
    <w:rsid w:val="0004771F"/>
    <w:rsid w:val="00050B2D"/>
    <w:rsid w:val="000575AE"/>
    <w:rsid w:val="000576E4"/>
    <w:rsid w:val="00061A6A"/>
    <w:rsid w:val="00062C71"/>
    <w:rsid w:val="000662CF"/>
    <w:rsid w:val="00067D87"/>
    <w:rsid w:val="00070BDB"/>
    <w:rsid w:val="00071255"/>
    <w:rsid w:val="0007396B"/>
    <w:rsid w:val="00077BEF"/>
    <w:rsid w:val="00085313"/>
    <w:rsid w:val="00085A90"/>
    <w:rsid w:val="000866E3"/>
    <w:rsid w:val="00090638"/>
    <w:rsid w:val="00095328"/>
    <w:rsid w:val="000A0ED6"/>
    <w:rsid w:val="000A6B30"/>
    <w:rsid w:val="000B35CE"/>
    <w:rsid w:val="000B7051"/>
    <w:rsid w:val="000B75F7"/>
    <w:rsid w:val="000C5FB0"/>
    <w:rsid w:val="000D02BE"/>
    <w:rsid w:val="000E1D53"/>
    <w:rsid w:val="000E2D2D"/>
    <w:rsid w:val="000E3E53"/>
    <w:rsid w:val="000E68FF"/>
    <w:rsid w:val="000E7C37"/>
    <w:rsid w:val="000F079A"/>
    <w:rsid w:val="000F0FC0"/>
    <w:rsid w:val="000F7D9B"/>
    <w:rsid w:val="001046B0"/>
    <w:rsid w:val="00104BA6"/>
    <w:rsid w:val="001053BF"/>
    <w:rsid w:val="0011104B"/>
    <w:rsid w:val="00121A54"/>
    <w:rsid w:val="00122C77"/>
    <w:rsid w:val="00123ACD"/>
    <w:rsid w:val="0012515A"/>
    <w:rsid w:val="00127586"/>
    <w:rsid w:val="001313F5"/>
    <w:rsid w:val="001343B4"/>
    <w:rsid w:val="001434A6"/>
    <w:rsid w:val="00163683"/>
    <w:rsid w:val="00164791"/>
    <w:rsid w:val="00165013"/>
    <w:rsid w:val="001715E1"/>
    <w:rsid w:val="00173E7A"/>
    <w:rsid w:val="00174B16"/>
    <w:rsid w:val="00177D2A"/>
    <w:rsid w:val="00181577"/>
    <w:rsid w:val="00192377"/>
    <w:rsid w:val="001946FA"/>
    <w:rsid w:val="001949B8"/>
    <w:rsid w:val="001A011D"/>
    <w:rsid w:val="001A5996"/>
    <w:rsid w:val="001B12D6"/>
    <w:rsid w:val="001B3233"/>
    <w:rsid w:val="001B4AD0"/>
    <w:rsid w:val="001B5176"/>
    <w:rsid w:val="001C2C7E"/>
    <w:rsid w:val="001D02F7"/>
    <w:rsid w:val="001D65DD"/>
    <w:rsid w:val="001E7BD7"/>
    <w:rsid w:val="001F00A1"/>
    <w:rsid w:val="001F1985"/>
    <w:rsid w:val="0020358B"/>
    <w:rsid w:val="00206B35"/>
    <w:rsid w:val="00215A51"/>
    <w:rsid w:val="00221D77"/>
    <w:rsid w:val="00223CC5"/>
    <w:rsid w:val="00225A11"/>
    <w:rsid w:val="002261BD"/>
    <w:rsid w:val="00234E26"/>
    <w:rsid w:val="00240DAE"/>
    <w:rsid w:val="0024214C"/>
    <w:rsid w:val="0024232C"/>
    <w:rsid w:val="0024243F"/>
    <w:rsid w:val="0024264B"/>
    <w:rsid w:val="00247D63"/>
    <w:rsid w:val="00247F78"/>
    <w:rsid w:val="00250355"/>
    <w:rsid w:val="00253A48"/>
    <w:rsid w:val="002553B1"/>
    <w:rsid w:val="002566C7"/>
    <w:rsid w:val="00265400"/>
    <w:rsid w:val="002655FA"/>
    <w:rsid w:val="00270F20"/>
    <w:rsid w:val="002723DF"/>
    <w:rsid w:val="00280AD9"/>
    <w:rsid w:val="002833E6"/>
    <w:rsid w:val="00285F14"/>
    <w:rsid w:val="002917E1"/>
    <w:rsid w:val="00296C68"/>
    <w:rsid w:val="002A26BF"/>
    <w:rsid w:val="002A28B4"/>
    <w:rsid w:val="002A360D"/>
    <w:rsid w:val="002A4ABE"/>
    <w:rsid w:val="002A78CD"/>
    <w:rsid w:val="002B3742"/>
    <w:rsid w:val="002C3AA6"/>
    <w:rsid w:val="002C4F97"/>
    <w:rsid w:val="002C7E7F"/>
    <w:rsid w:val="002D2591"/>
    <w:rsid w:val="002D47D7"/>
    <w:rsid w:val="002E1D45"/>
    <w:rsid w:val="002E400B"/>
    <w:rsid w:val="002E525E"/>
    <w:rsid w:val="002E6EE0"/>
    <w:rsid w:val="002E7910"/>
    <w:rsid w:val="002F0CD8"/>
    <w:rsid w:val="002F2F9F"/>
    <w:rsid w:val="002F6B4C"/>
    <w:rsid w:val="00306955"/>
    <w:rsid w:val="00312B80"/>
    <w:rsid w:val="00316300"/>
    <w:rsid w:val="003241EB"/>
    <w:rsid w:val="00327A46"/>
    <w:rsid w:val="00333CA0"/>
    <w:rsid w:val="0033451A"/>
    <w:rsid w:val="00340F31"/>
    <w:rsid w:val="00342F22"/>
    <w:rsid w:val="00365A16"/>
    <w:rsid w:val="003674E1"/>
    <w:rsid w:val="003714E9"/>
    <w:rsid w:val="003756FB"/>
    <w:rsid w:val="00376826"/>
    <w:rsid w:val="00376EB9"/>
    <w:rsid w:val="003776AE"/>
    <w:rsid w:val="00392F4B"/>
    <w:rsid w:val="003944E8"/>
    <w:rsid w:val="003A2DF4"/>
    <w:rsid w:val="003A5B62"/>
    <w:rsid w:val="003A6D13"/>
    <w:rsid w:val="003B5DBE"/>
    <w:rsid w:val="003B612C"/>
    <w:rsid w:val="003C1FBD"/>
    <w:rsid w:val="003C38FD"/>
    <w:rsid w:val="003C6E5B"/>
    <w:rsid w:val="003C7B96"/>
    <w:rsid w:val="003D2FD1"/>
    <w:rsid w:val="003D3D82"/>
    <w:rsid w:val="003D3EAE"/>
    <w:rsid w:val="003E447B"/>
    <w:rsid w:val="003F3E2F"/>
    <w:rsid w:val="003F46F1"/>
    <w:rsid w:val="00413D3F"/>
    <w:rsid w:val="004219B4"/>
    <w:rsid w:val="00422393"/>
    <w:rsid w:val="004245FB"/>
    <w:rsid w:val="00431C95"/>
    <w:rsid w:val="0043257B"/>
    <w:rsid w:val="0043623D"/>
    <w:rsid w:val="0044207C"/>
    <w:rsid w:val="00444AE6"/>
    <w:rsid w:val="00447224"/>
    <w:rsid w:val="004477E1"/>
    <w:rsid w:val="00454F67"/>
    <w:rsid w:val="00455139"/>
    <w:rsid w:val="004576D8"/>
    <w:rsid w:val="0046512B"/>
    <w:rsid w:val="00466E2D"/>
    <w:rsid w:val="004723EE"/>
    <w:rsid w:val="00475DB0"/>
    <w:rsid w:val="0048314A"/>
    <w:rsid w:val="0048585D"/>
    <w:rsid w:val="004905D4"/>
    <w:rsid w:val="00491304"/>
    <w:rsid w:val="00497C10"/>
    <w:rsid w:val="004A005A"/>
    <w:rsid w:val="004A78FA"/>
    <w:rsid w:val="004B5B90"/>
    <w:rsid w:val="004C57AE"/>
    <w:rsid w:val="004C6707"/>
    <w:rsid w:val="004D04F9"/>
    <w:rsid w:val="004D057F"/>
    <w:rsid w:val="004E6639"/>
    <w:rsid w:val="004F1C76"/>
    <w:rsid w:val="004F2B79"/>
    <w:rsid w:val="004F3A1C"/>
    <w:rsid w:val="004F45DF"/>
    <w:rsid w:val="005020D2"/>
    <w:rsid w:val="00505AA9"/>
    <w:rsid w:val="00510388"/>
    <w:rsid w:val="00520EEB"/>
    <w:rsid w:val="00524307"/>
    <w:rsid w:val="0053261C"/>
    <w:rsid w:val="005374DD"/>
    <w:rsid w:val="00540024"/>
    <w:rsid w:val="00540D4B"/>
    <w:rsid w:val="00541FFF"/>
    <w:rsid w:val="0054321F"/>
    <w:rsid w:val="00544176"/>
    <w:rsid w:val="005458DA"/>
    <w:rsid w:val="00546235"/>
    <w:rsid w:val="005470E7"/>
    <w:rsid w:val="00550275"/>
    <w:rsid w:val="0056168D"/>
    <w:rsid w:val="00561802"/>
    <w:rsid w:val="00566A21"/>
    <w:rsid w:val="00571FC1"/>
    <w:rsid w:val="00573D25"/>
    <w:rsid w:val="00576D9D"/>
    <w:rsid w:val="00576E29"/>
    <w:rsid w:val="00580F50"/>
    <w:rsid w:val="00584933"/>
    <w:rsid w:val="00586153"/>
    <w:rsid w:val="00587BEE"/>
    <w:rsid w:val="00590613"/>
    <w:rsid w:val="005A0D1C"/>
    <w:rsid w:val="005A3276"/>
    <w:rsid w:val="005A40D7"/>
    <w:rsid w:val="005A42A2"/>
    <w:rsid w:val="005B207A"/>
    <w:rsid w:val="005B7319"/>
    <w:rsid w:val="005D2F11"/>
    <w:rsid w:val="005D5DF8"/>
    <w:rsid w:val="005E0DD6"/>
    <w:rsid w:val="005E35A7"/>
    <w:rsid w:val="005E3D3C"/>
    <w:rsid w:val="005E524A"/>
    <w:rsid w:val="005E67C9"/>
    <w:rsid w:val="005E716F"/>
    <w:rsid w:val="005F37DC"/>
    <w:rsid w:val="005F5A1B"/>
    <w:rsid w:val="00613114"/>
    <w:rsid w:val="00622CF2"/>
    <w:rsid w:val="00622F32"/>
    <w:rsid w:val="00624620"/>
    <w:rsid w:val="006272D9"/>
    <w:rsid w:val="00630E5D"/>
    <w:rsid w:val="00634548"/>
    <w:rsid w:val="00636592"/>
    <w:rsid w:val="006369F9"/>
    <w:rsid w:val="00641389"/>
    <w:rsid w:val="00641767"/>
    <w:rsid w:val="00645EEC"/>
    <w:rsid w:val="0064724E"/>
    <w:rsid w:val="00650EBA"/>
    <w:rsid w:val="00652C8D"/>
    <w:rsid w:val="00653702"/>
    <w:rsid w:val="0065675C"/>
    <w:rsid w:val="00663EF3"/>
    <w:rsid w:val="006718C9"/>
    <w:rsid w:val="006723FB"/>
    <w:rsid w:val="00675CED"/>
    <w:rsid w:val="00680892"/>
    <w:rsid w:val="006845E9"/>
    <w:rsid w:val="006862E4"/>
    <w:rsid w:val="00687FF7"/>
    <w:rsid w:val="00690F5D"/>
    <w:rsid w:val="006910BE"/>
    <w:rsid w:val="006920A8"/>
    <w:rsid w:val="006977D7"/>
    <w:rsid w:val="006A1D86"/>
    <w:rsid w:val="006A44ED"/>
    <w:rsid w:val="006A7B6B"/>
    <w:rsid w:val="006B52CC"/>
    <w:rsid w:val="006C096D"/>
    <w:rsid w:val="006C5DA9"/>
    <w:rsid w:val="006C7A50"/>
    <w:rsid w:val="006D2F3A"/>
    <w:rsid w:val="006D460E"/>
    <w:rsid w:val="006D6EE1"/>
    <w:rsid w:val="006E0BF7"/>
    <w:rsid w:val="006E4412"/>
    <w:rsid w:val="006F17BE"/>
    <w:rsid w:val="006F5B53"/>
    <w:rsid w:val="00704699"/>
    <w:rsid w:val="00705D00"/>
    <w:rsid w:val="00707CD6"/>
    <w:rsid w:val="00710C60"/>
    <w:rsid w:val="0071377F"/>
    <w:rsid w:val="00713DFC"/>
    <w:rsid w:val="00721AAC"/>
    <w:rsid w:val="00721BEA"/>
    <w:rsid w:val="00723D7B"/>
    <w:rsid w:val="007272C2"/>
    <w:rsid w:val="00732FC4"/>
    <w:rsid w:val="0073428F"/>
    <w:rsid w:val="00735180"/>
    <w:rsid w:val="0074386E"/>
    <w:rsid w:val="007611F2"/>
    <w:rsid w:val="00763DD4"/>
    <w:rsid w:val="0077263B"/>
    <w:rsid w:val="00782953"/>
    <w:rsid w:val="0078326B"/>
    <w:rsid w:val="0078361A"/>
    <w:rsid w:val="00785702"/>
    <w:rsid w:val="00785BDA"/>
    <w:rsid w:val="00792049"/>
    <w:rsid w:val="00796EFE"/>
    <w:rsid w:val="007A09BB"/>
    <w:rsid w:val="007A1AD0"/>
    <w:rsid w:val="007A5FF0"/>
    <w:rsid w:val="007A7D8B"/>
    <w:rsid w:val="007B06C2"/>
    <w:rsid w:val="007B34CE"/>
    <w:rsid w:val="007B4A62"/>
    <w:rsid w:val="007B5305"/>
    <w:rsid w:val="007D4CC2"/>
    <w:rsid w:val="007E1609"/>
    <w:rsid w:val="007E5579"/>
    <w:rsid w:val="007E576B"/>
    <w:rsid w:val="007E57DC"/>
    <w:rsid w:val="007F3A1A"/>
    <w:rsid w:val="00803D51"/>
    <w:rsid w:val="00804793"/>
    <w:rsid w:val="00810828"/>
    <w:rsid w:val="00812264"/>
    <w:rsid w:val="00813AB6"/>
    <w:rsid w:val="00821C2A"/>
    <w:rsid w:val="00823EA8"/>
    <w:rsid w:val="00823FC6"/>
    <w:rsid w:val="00824FDB"/>
    <w:rsid w:val="00825935"/>
    <w:rsid w:val="00830A4F"/>
    <w:rsid w:val="00830C4E"/>
    <w:rsid w:val="00833592"/>
    <w:rsid w:val="00834067"/>
    <w:rsid w:val="00835CFF"/>
    <w:rsid w:val="008370E4"/>
    <w:rsid w:val="00841025"/>
    <w:rsid w:val="00847831"/>
    <w:rsid w:val="0086670A"/>
    <w:rsid w:val="008725D6"/>
    <w:rsid w:val="00877D9C"/>
    <w:rsid w:val="00884176"/>
    <w:rsid w:val="00885A35"/>
    <w:rsid w:val="0089001D"/>
    <w:rsid w:val="00890D70"/>
    <w:rsid w:val="008A4900"/>
    <w:rsid w:val="008A6200"/>
    <w:rsid w:val="008B1A54"/>
    <w:rsid w:val="008B1EFE"/>
    <w:rsid w:val="008B2CDF"/>
    <w:rsid w:val="008B3F87"/>
    <w:rsid w:val="008B4FE4"/>
    <w:rsid w:val="008B5974"/>
    <w:rsid w:val="008B6C98"/>
    <w:rsid w:val="008C25F8"/>
    <w:rsid w:val="008C4726"/>
    <w:rsid w:val="008C5CEB"/>
    <w:rsid w:val="008C7B33"/>
    <w:rsid w:val="008D033E"/>
    <w:rsid w:val="008D1FA4"/>
    <w:rsid w:val="008D29EC"/>
    <w:rsid w:val="008E4878"/>
    <w:rsid w:val="008F02CD"/>
    <w:rsid w:val="008F372B"/>
    <w:rsid w:val="008F4BB3"/>
    <w:rsid w:val="008F7358"/>
    <w:rsid w:val="0090002A"/>
    <w:rsid w:val="00902B6D"/>
    <w:rsid w:val="00903B08"/>
    <w:rsid w:val="00924EB1"/>
    <w:rsid w:val="00930B02"/>
    <w:rsid w:val="009320FE"/>
    <w:rsid w:val="00936045"/>
    <w:rsid w:val="00937AC1"/>
    <w:rsid w:val="00945A81"/>
    <w:rsid w:val="00956544"/>
    <w:rsid w:val="00961AD0"/>
    <w:rsid w:val="00965702"/>
    <w:rsid w:val="009657E3"/>
    <w:rsid w:val="00967DFD"/>
    <w:rsid w:val="00972CCD"/>
    <w:rsid w:val="00973152"/>
    <w:rsid w:val="00973FB1"/>
    <w:rsid w:val="00976243"/>
    <w:rsid w:val="009811A5"/>
    <w:rsid w:val="00983E9A"/>
    <w:rsid w:val="00984F9C"/>
    <w:rsid w:val="0098797B"/>
    <w:rsid w:val="00992E87"/>
    <w:rsid w:val="009932A6"/>
    <w:rsid w:val="009A46E6"/>
    <w:rsid w:val="009B2C0F"/>
    <w:rsid w:val="009B55F9"/>
    <w:rsid w:val="009B61CA"/>
    <w:rsid w:val="009C0505"/>
    <w:rsid w:val="009C49F2"/>
    <w:rsid w:val="009C56F1"/>
    <w:rsid w:val="009E030C"/>
    <w:rsid w:val="009E0AEF"/>
    <w:rsid w:val="009E1650"/>
    <w:rsid w:val="009E764D"/>
    <w:rsid w:val="009F5A87"/>
    <w:rsid w:val="009F65F3"/>
    <w:rsid w:val="009F6893"/>
    <w:rsid w:val="00A00316"/>
    <w:rsid w:val="00A04F51"/>
    <w:rsid w:val="00A15F9A"/>
    <w:rsid w:val="00A31E56"/>
    <w:rsid w:val="00A37E24"/>
    <w:rsid w:val="00A40A0D"/>
    <w:rsid w:val="00A44541"/>
    <w:rsid w:val="00A44C5F"/>
    <w:rsid w:val="00A5439A"/>
    <w:rsid w:val="00A563EF"/>
    <w:rsid w:val="00A60671"/>
    <w:rsid w:val="00A6503B"/>
    <w:rsid w:val="00A73CC6"/>
    <w:rsid w:val="00AA080A"/>
    <w:rsid w:val="00AA14A8"/>
    <w:rsid w:val="00AA3A37"/>
    <w:rsid w:val="00AB3300"/>
    <w:rsid w:val="00AC77DB"/>
    <w:rsid w:val="00AC7CF8"/>
    <w:rsid w:val="00AD05CC"/>
    <w:rsid w:val="00AD4587"/>
    <w:rsid w:val="00AD591B"/>
    <w:rsid w:val="00AD7CD9"/>
    <w:rsid w:val="00AE5650"/>
    <w:rsid w:val="00AE637A"/>
    <w:rsid w:val="00AE7538"/>
    <w:rsid w:val="00AF65E1"/>
    <w:rsid w:val="00B0107C"/>
    <w:rsid w:val="00B04D7D"/>
    <w:rsid w:val="00B112B1"/>
    <w:rsid w:val="00B26DD2"/>
    <w:rsid w:val="00B33F54"/>
    <w:rsid w:val="00B34B1A"/>
    <w:rsid w:val="00B52B7E"/>
    <w:rsid w:val="00B56DBF"/>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0471"/>
    <w:rsid w:val="00BE070F"/>
    <w:rsid w:val="00BE10C6"/>
    <w:rsid w:val="00BE1FD9"/>
    <w:rsid w:val="00BE7AA0"/>
    <w:rsid w:val="00BE7EC7"/>
    <w:rsid w:val="00BF2AB4"/>
    <w:rsid w:val="00BF302F"/>
    <w:rsid w:val="00BF37C2"/>
    <w:rsid w:val="00BF3DE6"/>
    <w:rsid w:val="00BF5C98"/>
    <w:rsid w:val="00C00920"/>
    <w:rsid w:val="00C06F5C"/>
    <w:rsid w:val="00C10C56"/>
    <w:rsid w:val="00C13089"/>
    <w:rsid w:val="00C205B8"/>
    <w:rsid w:val="00C21448"/>
    <w:rsid w:val="00C22269"/>
    <w:rsid w:val="00C23CAB"/>
    <w:rsid w:val="00C275D1"/>
    <w:rsid w:val="00C37C28"/>
    <w:rsid w:val="00C43CF8"/>
    <w:rsid w:val="00C454F8"/>
    <w:rsid w:val="00C51716"/>
    <w:rsid w:val="00C651B2"/>
    <w:rsid w:val="00C65F7A"/>
    <w:rsid w:val="00C73727"/>
    <w:rsid w:val="00C76F82"/>
    <w:rsid w:val="00C834CF"/>
    <w:rsid w:val="00C9198B"/>
    <w:rsid w:val="00C932B3"/>
    <w:rsid w:val="00C94148"/>
    <w:rsid w:val="00C97848"/>
    <w:rsid w:val="00C978E9"/>
    <w:rsid w:val="00C97B43"/>
    <w:rsid w:val="00CA2268"/>
    <w:rsid w:val="00CB4050"/>
    <w:rsid w:val="00CB45BF"/>
    <w:rsid w:val="00CB503C"/>
    <w:rsid w:val="00CB5924"/>
    <w:rsid w:val="00CD069A"/>
    <w:rsid w:val="00CD4418"/>
    <w:rsid w:val="00CD6A64"/>
    <w:rsid w:val="00CE1B93"/>
    <w:rsid w:val="00CE3268"/>
    <w:rsid w:val="00CE7D17"/>
    <w:rsid w:val="00CF0CC3"/>
    <w:rsid w:val="00CF1554"/>
    <w:rsid w:val="00CF4EFD"/>
    <w:rsid w:val="00CF72A3"/>
    <w:rsid w:val="00CF7B09"/>
    <w:rsid w:val="00D07021"/>
    <w:rsid w:val="00D12FAF"/>
    <w:rsid w:val="00D1519C"/>
    <w:rsid w:val="00D16523"/>
    <w:rsid w:val="00D20B28"/>
    <w:rsid w:val="00D2545C"/>
    <w:rsid w:val="00D35D0F"/>
    <w:rsid w:val="00D35F3A"/>
    <w:rsid w:val="00D4642C"/>
    <w:rsid w:val="00D47BD8"/>
    <w:rsid w:val="00D634FB"/>
    <w:rsid w:val="00D677EE"/>
    <w:rsid w:val="00D705D7"/>
    <w:rsid w:val="00D72D7A"/>
    <w:rsid w:val="00D815D8"/>
    <w:rsid w:val="00D86AFE"/>
    <w:rsid w:val="00D92024"/>
    <w:rsid w:val="00DA0E42"/>
    <w:rsid w:val="00DA11C6"/>
    <w:rsid w:val="00DA326B"/>
    <w:rsid w:val="00DA596E"/>
    <w:rsid w:val="00DA6611"/>
    <w:rsid w:val="00DC2929"/>
    <w:rsid w:val="00DC78A2"/>
    <w:rsid w:val="00DD47D3"/>
    <w:rsid w:val="00DD4F86"/>
    <w:rsid w:val="00DE398F"/>
    <w:rsid w:val="00DE4675"/>
    <w:rsid w:val="00DF3FCF"/>
    <w:rsid w:val="00DF50AA"/>
    <w:rsid w:val="00DF5EE2"/>
    <w:rsid w:val="00E066AE"/>
    <w:rsid w:val="00E13C32"/>
    <w:rsid w:val="00E14433"/>
    <w:rsid w:val="00E21C36"/>
    <w:rsid w:val="00E21E14"/>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0FE3"/>
    <w:rsid w:val="00E81D76"/>
    <w:rsid w:val="00E83188"/>
    <w:rsid w:val="00E86C0C"/>
    <w:rsid w:val="00E90311"/>
    <w:rsid w:val="00E915E1"/>
    <w:rsid w:val="00E926F8"/>
    <w:rsid w:val="00EA621A"/>
    <w:rsid w:val="00ED3010"/>
    <w:rsid w:val="00ED49A2"/>
    <w:rsid w:val="00EE11EB"/>
    <w:rsid w:val="00EE1412"/>
    <w:rsid w:val="00EE4A9D"/>
    <w:rsid w:val="00EE6EA6"/>
    <w:rsid w:val="00EF5496"/>
    <w:rsid w:val="00EF6DA3"/>
    <w:rsid w:val="00EF7463"/>
    <w:rsid w:val="00F013AD"/>
    <w:rsid w:val="00F04C0D"/>
    <w:rsid w:val="00F050A6"/>
    <w:rsid w:val="00F058A9"/>
    <w:rsid w:val="00F07FED"/>
    <w:rsid w:val="00F20290"/>
    <w:rsid w:val="00F27BA6"/>
    <w:rsid w:val="00F31E77"/>
    <w:rsid w:val="00F33671"/>
    <w:rsid w:val="00F422B5"/>
    <w:rsid w:val="00F44DA2"/>
    <w:rsid w:val="00F57CB8"/>
    <w:rsid w:val="00F613E7"/>
    <w:rsid w:val="00F615F2"/>
    <w:rsid w:val="00F61AAD"/>
    <w:rsid w:val="00F674D1"/>
    <w:rsid w:val="00F72510"/>
    <w:rsid w:val="00F86514"/>
    <w:rsid w:val="00F93B27"/>
    <w:rsid w:val="00FA2985"/>
    <w:rsid w:val="00FA5CC3"/>
    <w:rsid w:val="00FB3E61"/>
    <w:rsid w:val="00FC52B2"/>
    <w:rsid w:val="00FE5F7A"/>
    <w:rsid w:val="00FE6C33"/>
    <w:rsid w:val="00FE7B67"/>
    <w:rsid w:val="00FF0802"/>
    <w:rsid w:val="00FF0CB4"/>
    <w:rsid w:val="00FF32E5"/>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21">
      <o:colormru v:ext="edit" colors="#ab0042,#c3c3c3,#ff88b5"/>
    </o:shapedefaults>
    <o:shapelayout v:ext="edit">
      <o:idmap v:ext="edit" data="1"/>
    </o:shapelayout>
  </w:shapeDefaults>
  <w:decimalSymbol w:val=","/>
  <w:listSeparator w:val=";"/>
  <w14:docId w14:val="2907CC1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purl.org/dc/dcmitype/"/>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107E302F-9EF7-460F-AA92-44DDBC841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15</Pages>
  <Words>7121</Words>
  <Characters>42017</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196</cp:revision>
  <cp:lastPrinted>2016-08-23T08:46:00Z</cp:lastPrinted>
  <dcterms:created xsi:type="dcterms:W3CDTF">2016-02-29T07:23:00Z</dcterms:created>
  <dcterms:modified xsi:type="dcterms:W3CDTF">2023-12-14T09:19:00Z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